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F7" w:rsidRPr="006C1C1D" w:rsidRDefault="001A52F7" w:rsidP="001A52F7">
      <w:pPr>
        <w:autoSpaceDE w:val="0"/>
        <w:autoSpaceDN w:val="0"/>
        <w:adjustRightInd w:val="0"/>
        <w:spacing w:after="0" w:line="240" w:lineRule="auto"/>
        <w:rPr>
          <w:rFonts w:asciiTheme="majorHAnsi" w:hAnsiTheme="majorHAnsi" w:cs="Cambria-Bold"/>
          <w:b/>
          <w:bCs/>
          <w:sz w:val="31"/>
          <w:szCs w:val="31"/>
          <w:lang w:eastAsia="en-CA"/>
        </w:rPr>
      </w:pPr>
      <w:r w:rsidRPr="006C1C1D">
        <w:rPr>
          <w:rFonts w:asciiTheme="majorHAnsi" w:hAnsiTheme="majorHAnsi" w:cs="Cambria-Bold"/>
          <w:b/>
          <w:bCs/>
          <w:sz w:val="31"/>
          <w:szCs w:val="31"/>
          <w:lang w:eastAsia="en-CA"/>
        </w:rPr>
        <w:t>APPENDIX A - SINGLE OR SOLE SOURCING APPROVAL FORM</w:t>
      </w:r>
    </w:p>
    <w:p w:rsidR="001A52F7" w:rsidRPr="006C1C1D" w:rsidRDefault="001A52F7" w:rsidP="001A52F7">
      <w:pPr>
        <w:autoSpaceDE w:val="0"/>
        <w:autoSpaceDN w:val="0"/>
        <w:adjustRightInd w:val="0"/>
        <w:spacing w:after="0" w:line="240" w:lineRule="auto"/>
        <w:rPr>
          <w:rFonts w:asciiTheme="majorHAnsi" w:hAnsiTheme="majorHAnsi"/>
          <w:b/>
          <w:sz w:val="28"/>
          <w:szCs w:val="28"/>
          <w:lang w:val="en-US"/>
        </w:rPr>
      </w:pPr>
    </w:p>
    <w:p w:rsidR="009B250A" w:rsidRPr="006C1C1D" w:rsidRDefault="0039350C" w:rsidP="001A52F7">
      <w:pPr>
        <w:pBdr>
          <w:top w:val="single" w:sz="4" w:space="0" w:color="auto"/>
          <w:left w:val="single" w:sz="4" w:space="4" w:color="auto"/>
          <w:bottom w:val="single" w:sz="4" w:space="1" w:color="auto"/>
          <w:right w:val="single" w:sz="4" w:space="4" w:color="auto"/>
        </w:pBdr>
        <w:jc w:val="center"/>
        <w:rPr>
          <w:rFonts w:asciiTheme="majorHAnsi" w:hAnsiTheme="majorHAnsi"/>
          <w:b/>
          <w:sz w:val="28"/>
          <w:szCs w:val="28"/>
          <w:lang w:val="en-US"/>
        </w:rPr>
      </w:pPr>
      <w:r w:rsidRPr="006C1C1D">
        <w:rPr>
          <w:rFonts w:asciiTheme="majorHAnsi" w:hAnsiTheme="majorHAnsi"/>
          <w:b/>
          <w:sz w:val="28"/>
          <w:szCs w:val="28"/>
          <w:lang w:val="en-US"/>
        </w:rPr>
        <w:t xml:space="preserve">The Michener Institute </w:t>
      </w:r>
      <w:r w:rsidR="000156C7" w:rsidRPr="006C1C1D">
        <w:rPr>
          <w:rFonts w:asciiTheme="majorHAnsi" w:hAnsiTheme="majorHAnsi"/>
          <w:b/>
          <w:sz w:val="28"/>
          <w:szCs w:val="28"/>
          <w:lang w:val="en-US"/>
        </w:rPr>
        <w:t>Single/Sole Sourcing Approval Form</w:t>
      </w:r>
    </w:p>
    <w:p w:rsidR="00EA252D" w:rsidRDefault="00EA252D" w:rsidP="00EA252D">
      <w:pPr>
        <w:jc w:val="both"/>
        <w:rPr>
          <w:rFonts w:asciiTheme="majorHAnsi" w:hAnsiTheme="majorHAnsi"/>
          <w:b/>
          <w:sz w:val="28"/>
          <w:szCs w:val="28"/>
          <w:lang w:val="en-US"/>
        </w:rPr>
      </w:pPr>
      <w:r w:rsidRPr="00EA252D">
        <w:rPr>
          <w:rFonts w:asciiTheme="majorHAnsi" w:hAnsiTheme="majorHAnsi"/>
          <w:i/>
          <w:sz w:val="24"/>
          <w:szCs w:val="24"/>
          <w:u w:val="single"/>
          <w:lang w:val="en-US"/>
        </w:rPr>
        <w:t xml:space="preserve">This </w:t>
      </w:r>
      <w:r w:rsidR="00AA6119">
        <w:rPr>
          <w:rFonts w:asciiTheme="majorHAnsi" w:hAnsiTheme="majorHAnsi"/>
          <w:i/>
          <w:sz w:val="24"/>
          <w:szCs w:val="24"/>
          <w:u w:val="single"/>
          <w:lang w:val="en-US"/>
        </w:rPr>
        <w:t>form</w:t>
      </w:r>
      <w:r w:rsidRPr="00EA252D">
        <w:rPr>
          <w:rFonts w:asciiTheme="majorHAnsi" w:hAnsiTheme="majorHAnsi"/>
          <w:i/>
          <w:sz w:val="24"/>
          <w:szCs w:val="24"/>
          <w:u w:val="single"/>
          <w:lang w:val="en-US"/>
        </w:rPr>
        <w:t xml:space="preserve"> must be completed and approved before any commitment</w:t>
      </w:r>
      <w:r>
        <w:rPr>
          <w:rFonts w:asciiTheme="majorHAnsi" w:hAnsiTheme="majorHAnsi"/>
          <w:i/>
          <w:sz w:val="24"/>
          <w:szCs w:val="24"/>
          <w:u w:val="single"/>
          <w:lang w:val="en-US"/>
        </w:rPr>
        <w:t xml:space="preserve"> </w:t>
      </w:r>
      <w:r w:rsidR="00AA6119">
        <w:rPr>
          <w:rFonts w:asciiTheme="majorHAnsi" w:hAnsiTheme="majorHAnsi"/>
          <w:i/>
          <w:sz w:val="24"/>
          <w:szCs w:val="24"/>
          <w:u w:val="single"/>
          <w:lang w:val="en-US"/>
        </w:rPr>
        <w:t xml:space="preserve">to supplier </w:t>
      </w:r>
      <w:r>
        <w:rPr>
          <w:rFonts w:asciiTheme="majorHAnsi" w:hAnsiTheme="majorHAnsi"/>
          <w:i/>
          <w:sz w:val="24"/>
          <w:szCs w:val="24"/>
          <w:u w:val="single"/>
          <w:lang w:val="en-US"/>
        </w:rPr>
        <w:t>and original signed copy must be submitted to Finance Department for record.</w:t>
      </w:r>
    </w:p>
    <w:p w:rsidR="009B250A" w:rsidRPr="006C1C1D" w:rsidRDefault="009B250A" w:rsidP="001A52F7">
      <w:pPr>
        <w:spacing w:before="240"/>
        <w:jc w:val="both"/>
        <w:rPr>
          <w:rFonts w:asciiTheme="majorHAnsi" w:hAnsiTheme="majorHAnsi"/>
          <w:b/>
          <w:sz w:val="28"/>
          <w:szCs w:val="28"/>
          <w:lang w:val="en-US"/>
        </w:rPr>
      </w:pPr>
      <w:r w:rsidRPr="006C1C1D">
        <w:rPr>
          <w:rFonts w:asciiTheme="majorHAnsi" w:hAnsiTheme="majorHAnsi"/>
          <w:b/>
          <w:sz w:val="28"/>
          <w:szCs w:val="28"/>
          <w:lang w:val="en-US"/>
        </w:rPr>
        <w:t>Briefing Note</w:t>
      </w:r>
    </w:p>
    <w:p w:rsidR="009B250A" w:rsidRPr="006C1C1D" w:rsidRDefault="009B250A" w:rsidP="009314DA">
      <w:pPr>
        <w:tabs>
          <w:tab w:val="left" w:pos="3150"/>
        </w:tabs>
        <w:jc w:val="both"/>
        <w:rPr>
          <w:rFonts w:asciiTheme="majorHAnsi" w:hAnsiTheme="majorHAnsi"/>
          <w:sz w:val="24"/>
          <w:szCs w:val="24"/>
          <w:lang w:val="en-US"/>
        </w:rPr>
      </w:pPr>
      <w:r w:rsidRPr="006C1C1D">
        <w:rPr>
          <w:rFonts w:asciiTheme="majorHAnsi" w:hAnsiTheme="majorHAnsi"/>
          <w:b/>
          <w:sz w:val="24"/>
          <w:szCs w:val="24"/>
          <w:lang w:val="en-US"/>
        </w:rPr>
        <w:t>To:</w:t>
      </w:r>
      <w:r w:rsidRPr="006C1C1D">
        <w:rPr>
          <w:rFonts w:asciiTheme="majorHAnsi" w:hAnsiTheme="majorHAnsi"/>
          <w:b/>
          <w:sz w:val="24"/>
          <w:szCs w:val="24"/>
          <w:lang w:val="en-US"/>
        </w:rPr>
        <w:tab/>
      </w:r>
      <w:r w:rsidRPr="006C1C1D">
        <w:rPr>
          <w:rFonts w:asciiTheme="majorHAnsi" w:hAnsiTheme="majorHAnsi"/>
          <w:sz w:val="24"/>
          <w:szCs w:val="24"/>
          <w:lang w:val="en-US"/>
        </w:rPr>
        <w:t>xxxxx</w:t>
      </w:r>
    </w:p>
    <w:p w:rsidR="009B250A" w:rsidRPr="006C1C1D" w:rsidRDefault="009B250A" w:rsidP="009314DA">
      <w:pPr>
        <w:tabs>
          <w:tab w:val="left" w:pos="3150"/>
        </w:tabs>
        <w:jc w:val="both"/>
        <w:rPr>
          <w:rFonts w:asciiTheme="majorHAnsi" w:hAnsiTheme="majorHAnsi"/>
          <w:b/>
          <w:sz w:val="24"/>
          <w:szCs w:val="24"/>
          <w:lang w:val="en-US"/>
        </w:rPr>
      </w:pPr>
      <w:r w:rsidRPr="006C1C1D">
        <w:rPr>
          <w:rFonts w:asciiTheme="majorHAnsi" w:hAnsiTheme="majorHAnsi"/>
          <w:b/>
          <w:sz w:val="24"/>
          <w:szCs w:val="24"/>
          <w:lang w:val="en-US"/>
        </w:rPr>
        <w:t>From:</w:t>
      </w:r>
      <w:r w:rsidRPr="006C1C1D">
        <w:rPr>
          <w:rFonts w:asciiTheme="majorHAnsi" w:hAnsiTheme="majorHAnsi"/>
          <w:b/>
          <w:sz w:val="24"/>
          <w:szCs w:val="24"/>
          <w:lang w:val="en-US"/>
        </w:rPr>
        <w:tab/>
      </w:r>
      <w:r w:rsidRPr="006C1C1D">
        <w:rPr>
          <w:rFonts w:asciiTheme="majorHAnsi" w:hAnsiTheme="majorHAnsi"/>
          <w:sz w:val="24"/>
          <w:szCs w:val="24"/>
          <w:lang w:val="en-US"/>
        </w:rPr>
        <w:t>xxxxx</w:t>
      </w:r>
      <w:r w:rsidR="005123C3" w:rsidRPr="006C1C1D">
        <w:rPr>
          <w:rFonts w:asciiTheme="majorHAnsi" w:hAnsiTheme="majorHAnsi"/>
          <w:sz w:val="24"/>
          <w:szCs w:val="24"/>
          <w:lang w:val="en-US"/>
        </w:rPr>
        <w:t>, Title, Department</w:t>
      </w:r>
      <w:r w:rsidRPr="006C1C1D">
        <w:rPr>
          <w:rFonts w:asciiTheme="majorHAnsi" w:hAnsiTheme="majorHAnsi"/>
          <w:b/>
          <w:sz w:val="24"/>
          <w:szCs w:val="24"/>
          <w:lang w:val="en-US"/>
        </w:rPr>
        <w:tab/>
      </w:r>
    </w:p>
    <w:p w:rsidR="009B250A" w:rsidRPr="006C1C1D" w:rsidRDefault="009B250A" w:rsidP="009314DA">
      <w:pPr>
        <w:tabs>
          <w:tab w:val="left" w:pos="3150"/>
        </w:tabs>
        <w:jc w:val="both"/>
        <w:rPr>
          <w:rFonts w:asciiTheme="majorHAnsi" w:hAnsiTheme="majorHAnsi"/>
          <w:sz w:val="24"/>
          <w:szCs w:val="24"/>
          <w:lang w:val="en-US"/>
        </w:rPr>
      </w:pPr>
      <w:r w:rsidRPr="006C1C1D">
        <w:rPr>
          <w:rFonts w:asciiTheme="majorHAnsi" w:hAnsiTheme="majorHAnsi"/>
          <w:b/>
          <w:sz w:val="24"/>
          <w:szCs w:val="24"/>
          <w:lang w:val="en-US"/>
        </w:rPr>
        <w:t>Date:</w:t>
      </w:r>
      <w:r w:rsidRPr="006C1C1D">
        <w:rPr>
          <w:rFonts w:asciiTheme="majorHAnsi" w:hAnsiTheme="majorHAnsi"/>
          <w:b/>
          <w:sz w:val="24"/>
          <w:szCs w:val="24"/>
          <w:lang w:val="en-US"/>
        </w:rPr>
        <w:tab/>
      </w:r>
      <w:r w:rsidRPr="006C1C1D">
        <w:rPr>
          <w:rFonts w:asciiTheme="majorHAnsi" w:hAnsiTheme="majorHAnsi"/>
          <w:sz w:val="24"/>
          <w:szCs w:val="24"/>
          <w:lang w:val="en-US"/>
        </w:rPr>
        <w:t>xxxxx</w:t>
      </w:r>
    </w:p>
    <w:p w:rsidR="009B250A" w:rsidRPr="006C1C1D" w:rsidRDefault="0028482F" w:rsidP="009314DA">
      <w:pPr>
        <w:tabs>
          <w:tab w:val="left" w:pos="3150"/>
        </w:tabs>
        <w:jc w:val="both"/>
        <w:rPr>
          <w:rFonts w:asciiTheme="majorHAnsi" w:hAnsiTheme="majorHAnsi"/>
          <w:sz w:val="24"/>
          <w:szCs w:val="24"/>
          <w:lang w:val="en-US"/>
        </w:rPr>
      </w:pPr>
      <w:r w:rsidRPr="006C1C1D">
        <w:rPr>
          <w:rFonts w:asciiTheme="majorHAnsi" w:hAnsiTheme="majorHAnsi"/>
          <w:b/>
          <w:sz w:val="24"/>
          <w:szCs w:val="24"/>
          <w:lang w:val="en-US"/>
        </w:rPr>
        <w:t>Recommended Supplier</w:t>
      </w:r>
      <w:r w:rsidR="009B250A" w:rsidRPr="006C1C1D">
        <w:rPr>
          <w:rFonts w:asciiTheme="majorHAnsi" w:hAnsiTheme="majorHAnsi"/>
          <w:b/>
          <w:sz w:val="24"/>
          <w:szCs w:val="24"/>
          <w:lang w:val="en-US"/>
        </w:rPr>
        <w:t>:</w:t>
      </w:r>
      <w:r w:rsidR="009B250A" w:rsidRPr="006C1C1D">
        <w:rPr>
          <w:rFonts w:asciiTheme="majorHAnsi" w:hAnsiTheme="majorHAnsi"/>
          <w:b/>
          <w:sz w:val="24"/>
          <w:szCs w:val="24"/>
          <w:lang w:val="en-US"/>
        </w:rPr>
        <w:tab/>
      </w:r>
      <w:r w:rsidR="002212F5" w:rsidRPr="006C1C1D">
        <w:rPr>
          <w:rFonts w:asciiTheme="majorHAnsi" w:hAnsiTheme="majorHAnsi"/>
          <w:sz w:val="24"/>
          <w:szCs w:val="24"/>
          <w:lang w:val="en-US"/>
        </w:rPr>
        <w:t>xxxxx</w:t>
      </w:r>
    </w:p>
    <w:p w:rsidR="009B250A" w:rsidRPr="006C1C1D" w:rsidRDefault="00135FE1" w:rsidP="009B250A">
      <w:pPr>
        <w:jc w:val="both"/>
        <w:rPr>
          <w:rFonts w:asciiTheme="majorHAnsi" w:hAnsiTheme="majorHAnsi"/>
          <w:b/>
          <w:sz w:val="24"/>
          <w:szCs w:val="24"/>
          <w:lang w:val="en-US"/>
        </w:rPr>
      </w:pPr>
      <w:r>
        <w:rPr>
          <w:rFonts w:asciiTheme="majorHAnsi" w:hAnsiTheme="majorHAnsi"/>
          <w:b/>
          <w:sz w:val="24"/>
          <w:szCs w:val="24"/>
          <w:lang w:val="en-US"/>
        </w:rPr>
        <w:pict>
          <v:rect id="_x0000_i1025" style="width:0;height:1.5pt" o:hralign="center" o:hrstd="t" o:hr="t" fillcolor="gray" stroked="f"/>
        </w:pict>
      </w:r>
    </w:p>
    <w:p w:rsidR="009B250A" w:rsidRPr="006C1C1D" w:rsidRDefault="009B250A" w:rsidP="009B250A">
      <w:pPr>
        <w:jc w:val="both"/>
        <w:rPr>
          <w:rFonts w:asciiTheme="majorHAnsi" w:hAnsiTheme="majorHAnsi"/>
          <w:b/>
          <w:sz w:val="28"/>
          <w:szCs w:val="28"/>
          <w:lang w:val="en-US"/>
        </w:rPr>
      </w:pPr>
      <w:r w:rsidRPr="006C1C1D">
        <w:rPr>
          <w:rFonts w:asciiTheme="majorHAnsi" w:hAnsiTheme="majorHAnsi"/>
          <w:b/>
          <w:sz w:val="28"/>
          <w:szCs w:val="28"/>
          <w:lang w:val="en-US"/>
        </w:rPr>
        <w:t>Background</w:t>
      </w:r>
    </w:p>
    <w:p w:rsidR="009B250A" w:rsidRPr="006C1C1D" w:rsidRDefault="009B250A" w:rsidP="009B250A">
      <w:pPr>
        <w:jc w:val="both"/>
        <w:rPr>
          <w:rFonts w:asciiTheme="majorHAnsi" w:hAnsiTheme="majorHAnsi"/>
          <w:i/>
          <w:sz w:val="24"/>
          <w:szCs w:val="24"/>
          <w:lang w:val="en-US"/>
        </w:rPr>
      </w:pPr>
      <w:r w:rsidRPr="006C1C1D">
        <w:rPr>
          <w:rFonts w:asciiTheme="majorHAnsi" w:hAnsiTheme="majorHAnsi"/>
          <w:i/>
          <w:sz w:val="24"/>
          <w:szCs w:val="24"/>
          <w:lang w:val="en-US"/>
        </w:rPr>
        <w:t>Explanation of the product or service (what it is, how it is used, where it is used, why it is needed, who made the request) and how it fits with organizational objectives.  Describe the circumstances that have created this situation.  Describe any risks or implications.</w:t>
      </w:r>
    </w:p>
    <w:p w:rsidR="009B250A" w:rsidRPr="006C1C1D" w:rsidRDefault="009B250A" w:rsidP="009B250A">
      <w:pPr>
        <w:jc w:val="both"/>
        <w:rPr>
          <w:rFonts w:asciiTheme="majorHAnsi" w:hAnsiTheme="majorHAnsi"/>
          <w:b/>
          <w:sz w:val="28"/>
          <w:szCs w:val="28"/>
          <w:lang w:val="en-US"/>
        </w:rPr>
      </w:pPr>
      <w:r w:rsidRPr="006C1C1D">
        <w:rPr>
          <w:rFonts w:asciiTheme="majorHAnsi" w:hAnsiTheme="majorHAnsi"/>
          <w:b/>
          <w:sz w:val="28"/>
          <w:szCs w:val="28"/>
          <w:lang w:val="en-US"/>
        </w:rPr>
        <w:t>Justification</w:t>
      </w:r>
    </w:p>
    <w:p w:rsidR="009B250A" w:rsidRPr="006C1C1D" w:rsidRDefault="009B250A" w:rsidP="009B250A">
      <w:pPr>
        <w:jc w:val="both"/>
        <w:rPr>
          <w:rFonts w:asciiTheme="majorHAnsi" w:hAnsiTheme="majorHAnsi"/>
          <w:i/>
          <w:sz w:val="24"/>
          <w:szCs w:val="24"/>
          <w:lang w:val="en-US"/>
        </w:rPr>
      </w:pPr>
      <w:r w:rsidRPr="006C1C1D">
        <w:rPr>
          <w:rFonts w:asciiTheme="majorHAnsi" w:hAnsiTheme="majorHAnsi"/>
          <w:i/>
          <w:sz w:val="24"/>
          <w:szCs w:val="24"/>
          <w:lang w:val="en-US"/>
        </w:rPr>
        <w:t>Explain why approval is requested for a single or sole sourcing award.  Need to clearly explain why bypassing the competitive bidding process is necessary and justify why this exception is required.  Provide details on what due diligence was performed to confirm the situation.</w:t>
      </w:r>
    </w:p>
    <w:p w:rsidR="009B250A" w:rsidRPr="006C1C1D" w:rsidRDefault="009B250A" w:rsidP="009B250A">
      <w:pPr>
        <w:jc w:val="both"/>
        <w:rPr>
          <w:rFonts w:asciiTheme="majorHAnsi" w:hAnsiTheme="majorHAnsi"/>
          <w:i/>
          <w:sz w:val="24"/>
          <w:szCs w:val="24"/>
          <w:lang w:val="en-US"/>
        </w:rPr>
      </w:pPr>
      <w:r w:rsidRPr="006C1C1D">
        <w:rPr>
          <w:rFonts w:asciiTheme="majorHAnsi" w:hAnsiTheme="majorHAnsi"/>
          <w:i/>
          <w:sz w:val="24"/>
          <w:szCs w:val="24"/>
          <w:lang w:val="en-US"/>
        </w:rPr>
        <w:t>If this is a renewal, explain how the original decision was made (i.</w:t>
      </w:r>
      <w:r w:rsidR="005E00DE" w:rsidRPr="006C1C1D">
        <w:rPr>
          <w:rFonts w:asciiTheme="majorHAnsi" w:hAnsiTheme="majorHAnsi"/>
          <w:i/>
          <w:sz w:val="24"/>
          <w:szCs w:val="24"/>
          <w:lang w:val="en-US"/>
        </w:rPr>
        <w:t xml:space="preserve">e., how this product or service </w:t>
      </w:r>
      <w:r w:rsidRPr="006C1C1D">
        <w:rPr>
          <w:rFonts w:asciiTheme="majorHAnsi" w:hAnsiTheme="majorHAnsi"/>
          <w:i/>
          <w:sz w:val="24"/>
          <w:szCs w:val="24"/>
          <w:lang w:val="en-US"/>
        </w:rPr>
        <w:t>was selected).</w:t>
      </w:r>
    </w:p>
    <w:p w:rsidR="00876E5A" w:rsidRPr="006C1C1D" w:rsidRDefault="00876E5A" w:rsidP="009B250A">
      <w:pPr>
        <w:jc w:val="both"/>
        <w:rPr>
          <w:rFonts w:asciiTheme="majorHAnsi" w:hAnsiTheme="majorHAnsi"/>
          <w:b/>
          <w:sz w:val="28"/>
          <w:szCs w:val="28"/>
          <w:lang w:val="en-US"/>
        </w:rPr>
      </w:pPr>
      <w:r w:rsidRPr="006C1C1D">
        <w:rPr>
          <w:rFonts w:asciiTheme="majorHAnsi" w:hAnsiTheme="majorHAnsi"/>
          <w:b/>
          <w:sz w:val="28"/>
          <w:szCs w:val="28"/>
          <w:lang w:val="en-US"/>
        </w:rPr>
        <w:t>Actions Taken</w:t>
      </w:r>
    </w:p>
    <w:p w:rsidR="00876E5A" w:rsidRPr="006C1C1D" w:rsidRDefault="00F40D73" w:rsidP="009B250A">
      <w:pPr>
        <w:jc w:val="both"/>
        <w:rPr>
          <w:rFonts w:asciiTheme="majorHAnsi" w:hAnsiTheme="majorHAnsi"/>
          <w:i/>
          <w:sz w:val="24"/>
          <w:szCs w:val="24"/>
          <w:lang w:val="en-US"/>
        </w:rPr>
      </w:pPr>
      <w:r w:rsidRPr="006C1C1D">
        <w:rPr>
          <w:rFonts w:asciiTheme="majorHAnsi" w:hAnsiTheme="majorHAnsi"/>
          <w:i/>
          <w:sz w:val="24"/>
          <w:szCs w:val="24"/>
          <w:lang w:val="en-US"/>
        </w:rPr>
        <w:t xml:space="preserve">Explain the cost/benefit analysis </w:t>
      </w:r>
      <w:r w:rsidR="000E3487" w:rsidRPr="006C1C1D">
        <w:rPr>
          <w:rFonts w:asciiTheme="majorHAnsi" w:hAnsiTheme="majorHAnsi"/>
          <w:i/>
          <w:sz w:val="24"/>
          <w:szCs w:val="24"/>
          <w:lang w:val="en-US"/>
        </w:rPr>
        <w:t>(if applicable) including details of the value proposition for the organization given the single/sole sourcing circumstances.</w:t>
      </w:r>
    </w:p>
    <w:p w:rsidR="000E3487" w:rsidRPr="006C1C1D" w:rsidRDefault="000E3487" w:rsidP="009B250A">
      <w:pPr>
        <w:jc w:val="both"/>
        <w:rPr>
          <w:rFonts w:asciiTheme="majorHAnsi" w:hAnsiTheme="majorHAnsi"/>
          <w:b/>
          <w:sz w:val="28"/>
          <w:szCs w:val="28"/>
          <w:lang w:val="en-US"/>
        </w:rPr>
      </w:pPr>
      <w:r w:rsidRPr="006C1C1D">
        <w:rPr>
          <w:rFonts w:asciiTheme="majorHAnsi" w:hAnsiTheme="majorHAnsi"/>
          <w:b/>
          <w:sz w:val="28"/>
          <w:szCs w:val="28"/>
          <w:lang w:val="en-US"/>
        </w:rPr>
        <w:t>Required Timing</w:t>
      </w:r>
    </w:p>
    <w:p w:rsidR="00585BA2" w:rsidRPr="006C1C1D" w:rsidRDefault="000E3487" w:rsidP="009B250A">
      <w:pPr>
        <w:jc w:val="both"/>
        <w:rPr>
          <w:rFonts w:asciiTheme="majorHAnsi" w:hAnsiTheme="majorHAnsi"/>
          <w:i/>
          <w:sz w:val="24"/>
          <w:szCs w:val="24"/>
          <w:lang w:val="en-US"/>
        </w:rPr>
      </w:pPr>
      <w:r w:rsidRPr="006C1C1D">
        <w:rPr>
          <w:rFonts w:asciiTheme="majorHAnsi" w:hAnsiTheme="majorHAnsi"/>
          <w:i/>
          <w:sz w:val="24"/>
          <w:szCs w:val="24"/>
          <w:lang w:val="en-US"/>
        </w:rPr>
        <w:t>State when the product or service is required (helps to ensure sign-offs completed in time).</w:t>
      </w:r>
    </w:p>
    <w:p w:rsidR="005123C3" w:rsidRPr="006C1C1D" w:rsidRDefault="005123C3" w:rsidP="00585BA2">
      <w:pPr>
        <w:jc w:val="both"/>
        <w:rPr>
          <w:rFonts w:asciiTheme="majorHAnsi" w:hAnsiTheme="majorHAnsi"/>
          <w:b/>
          <w:i/>
          <w:sz w:val="24"/>
          <w:szCs w:val="24"/>
          <w:lang w:val="en-US"/>
        </w:rPr>
      </w:pPr>
    </w:p>
    <w:p w:rsidR="005123C3" w:rsidRPr="006C1C1D" w:rsidRDefault="00585BA2" w:rsidP="005123C3">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8"/>
          <w:lang w:val="en-US"/>
        </w:rPr>
      </w:pPr>
      <w:r w:rsidRPr="006C1C1D">
        <w:rPr>
          <w:rFonts w:asciiTheme="majorHAnsi" w:hAnsiTheme="majorHAnsi"/>
          <w:b/>
          <w:sz w:val="28"/>
          <w:szCs w:val="28"/>
          <w:lang w:val="en-US"/>
        </w:rPr>
        <w:br w:type="page"/>
      </w:r>
      <w:r w:rsidR="0039350C" w:rsidRPr="006C1C1D">
        <w:rPr>
          <w:rFonts w:asciiTheme="majorHAnsi" w:hAnsiTheme="majorHAnsi"/>
          <w:b/>
          <w:sz w:val="28"/>
          <w:szCs w:val="28"/>
          <w:lang w:val="en-US"/>
        </w:rPr>
        <w:lastRenderedPageBreak/>
        <w:t xml:space="preserve">The Michener Institute </w:t>
      </w:r>
      <w:r w:rsidR="005123C3" w:rsidRPr="006C1C1D">
        <w:rPr>
          <w:rFonts w:asciiTheme="majorHAnsi" w:hAnsiTheme="majorHAnsi"/>
          <w:b/>
          <w:sz w:val="28"/>
          <w:szCs w:val="28"/>
          <w:lang w:val="en-US"/>
        </w:rPr>
        <w:t>Single/Sole Sourcing Approval Form</w:t>
      </w:r>
    </w:p>
    <w:p w:rsidR="005123C3" w:rsidRPr="006C1C1D" w:rsidRDefault="005123C3" w:rsidP="00585BA2">
      <w:pPr>
        <w:pStyle w:val="ListParagraph"/>
        <w:numPr>
          <w:ilvl w:val="0"/>
          <w:numId w:val="1"/>
        </w:numPr>
        <w:ind w:left="425" w:hanging="425"/>
        <w:rPr>
          <w:rFonts w:asciiTheme="majorHAnsi" w:hAnsiTheme="majorHAnsi"/>
          <w:sz w:val="24"/>
          <w:szCs w:val="24"/>
          <w:lang w:val="en-US"/>
        </w:rPr>
      </w:pPr>
      <w:r w:rsidRPr="006C1C1D">
        <w:rPr>
          <w:rFonts w:asciiTheme="majorHAnsi" w:hAnsiTheme="majorHAnsi"/>
          <w:sz w:val="24"/>
          <w:szCs w:val="24"/>
          <w:lang w:val="en-US"/>
        </w:rPr>
        <w:t>Identify non-competitive procurement type: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168"/>
        <w:gridCol w:w="360"/>
        <w:gridCol w:w="3968"/>
      </w:tblGrid>
      <w:tr w:rsidR="006652AC" w:rsidRPr="006C1C1D" w:rsidTr="001C7958">
        <w:tc>
          <w:tcPr>
            <w:tcW w:w="360" w:type="dxa"/>
            <w:shd w:val="clear" w:color="auto" w:fill="auto"/>
          </w:tcPr>
          <w:p w:rsidR="006652AC" w:rsidRPr="006C1C1D" w:rsidRDefault="006652AC" w:rsidP="007B3A45">
            <w:pPr>
              <w:pStyle w:val="ListParagraph"/>
              <w:spacing w:after="0" w:line="240" w:lineRule="auto"/>
              <w:ind w:left="0"/>
              <w:rPr>
                <w:rFonts w:asciiTheme="majorHAnsi" w:hAnsiTheme="majorHAnsi"/>
                <w:sz w:val="24"/>
                <w:szCs w:val="24"/>
                <w:lang w:val="en-US"/>
              </w:rPr>
            </w:pPr>
          </w:p>
        </w:tc>
        <w:tc>
          <w:tcPr>
            <w:tcW w:w="3168" w:type="dxa"/>
            <w:tcBorders>
              <w:top w:val="nil"/>
              <w:bottom w:val="nil"/>
            </w:tcBorders>
            <w:shd w:val="clear" w:color="auto" w:fill="auto"/>
          </w:tcPr>
          <w:p w:rsidR="006652AC" w:rsidRPr="006C1C1D" w:rsidRDefault="006652AC" w:rsidP="007B3A45">
            <w:pPr>
              <w:pStyle w:val="ListParagraph"/>
              <w:spacing w:after="0" w:line="240" w:lineRule="auto"/>
              <w:ind w:left="0"/>
              <w:rPr>
                <w:rFonts w:asciiTheme="majorHAnsi" w:hAnsiTheme="majorHAnsi"/>
                <w:sz w:val="24"/>
                <w:szCs w:val="24"/>
                <w:lang w:val="en-US"/>
              </w:rPr>
            </w:pPr>
            <w:r w:rsidRPr="006C1C1D">
              <w:rPr>
                <w:rFonts w:asciiTheme="majorHAnsi" w:hAnsiTheme="majorHAnsi"/>
                <w:sz w:val="24"/>
                <w:szCs w:val="24"/>
                <w:lang w:val="en-US"/>
              </w:rPr>
              <w:t>Sole Sourcing &gt;=$</w:t>
            </w:r>
            <w:r w:rsidR="007D52F7" w:rsidRPr="006C1C1D">
              <w:rPr>
                <w:rFonts w:asciiTheme="majorHAnsi" w:hAnsiTheme="majorHAnsi"/>
                <w:sz w:val="24"/>
                <w:szCs w:val="24"/>
                <w:lang w:val="en-US"/>
              </w:rPr>
              <w:t>10</w:t>
            </w:r>
            <w:r w:rsidRPr="006C1C1D">
              <w:rPr>
                <w:rFonts w:asciiTheme="majorHAnsi" w:hAnsiTheme="majorHAnsi"/>
                <w:sz w:val="24"/>
                <w:szCs w:val="24"/>
                <w:lang w:val="en-US"/>
              </w:rPr>
              <w:t>,000</w:t>
            </w:r>
          </w:p>
        </w:tc>
        <w:tc>
          <w:tcPr>
            <w:tcW w:w="360" w:type="dxa"/>
            <w:shd w:val="clear" w:color="auto" w:fill="auto"/>
          </w:tcPr>
          <w:p w:rsidR="006652AC" w:rsidRPr="006C1C1D" w:rsidRDefault="006652AC" w:rsidP="006C1C1D">
            <w:pPr>
              <w:pStyle w:val="ListParagraph"/>
              <w:spacing w:after="0" w:line="240" w:lineRule="auto"/>
              <w:ind w:left="-87" w:right="-141"/>
              <w:rPr>
                <w:rFonts w:asciiTheme="majorHAnsi" w:hAnsiTheme="majorHAnsi"/>
                <w:sz w:val="24"/>
                <w:szCs w:val="24"/>
                <w:lang w:val="en-US"/>
              </w:rPr>
            </w:pPr>
          </w:p>
        </w:tc>
        <w:tc>
          <w:tcPr>
            <w:tcW w:w="3968" w:type="dxa"/>
            <w:tcBorders>
              <w:top w:val="nil"/>
              <w:bottom w:val="nil"/>
              <w:right w:val="nil"/>
            </w:tcBorders>
            <w:shd w:val="clear" w:color="auto" w:fill="auto"/>
          </w:tcPr>
          <w:p w:rsidR="006652AC" w:rsidRPr="006C1C1D" w:rsidRDefault="006652AC" w:rsidP="007B3A45">
            <w:pPr>
              <w:pStyle w:val="ListParagraph"/>
              <w:spacing w:after="0" w:line="240" w:lineRule="auto"/>
              <w:ind w:left="0"/>
              <w:rPr>
                <w:rFonts w:asciiTheme="majorHAnsi" w:hAnsiTheme="majorHAnsi"/>
                <w:sz w:val="24"/>
                <w:szCs w:val="24"/>
                <w:lang w:val="en-US"/>
              </w:rPr>
            </w:pPr>
            <w:r w:rsidRPr="006C1C1D">
              <w:rPr>
                <w:rFonts w:asciiTheme="majorHAnsi" w:hAnsiTheme="majorHAnsi"/>
                <w:sz w:val="24"/>
                <w:szCs w:val="24"/>
                <w:lang w:val="en-US"/>
              </w:rPr>
              <w:t>Single Sourcing &gt;=$</w:t>
            </w:r>
            <w:r w:rsidR="007D52F7" w:rsidRPr="006C1C1D">
              <w:rPr>
                <w:rFonts w:asciiTheme="majorHAnsi" w:hAnsiTheme="majorHAnsi"/>
                <w:sz w:val="24"/>
                <w:szCs w:val="24"/>
                <w:lang w:val="en-US"/>
              </w:rPr>
              <w:t>10</w:t>
            </w:r>
            <w:r w:rsidRPr="006C1C1D">
              <w:rPr>
                <w:rFonts w:asciiTheme="majorHAnsi" w:hAnsiTheme="majorHAnsi"/>
                <w:sz w:val="24"/>
                <w:szCs w:val="24"/>
                <w:lang w:val="en-US"/>
              </w:rPr>
              <w:t>,000</w:t>
            </w:r>
          </w:p>
        </w:tc>
      </w:tr>
    </w:tbl>
    <w:p w:rsidR="005123C3" w:rsidRPr="006C1C1D" w:rsidRDefault="005123C3" w:rsidP="00CA497B">
      <w:pPr>
        <w:pStyle w:val="ListParagraph"/>
        <w:spacing w:line="240" w:lineRule="auto"/>
        <w:rPr>
          <w:rFonts w:asciiTheme="majorHAnsi" w:hAnsiTheme="majorHAnsi"/>
          <w:sz w:val="24"/>
          <w:szCs w:val="24"/>
          <w:lang w:val="en-US"/>
        </w:rPr>
      </w:pPr>
    </w:p>
    <w:p w:rsidR="006652AC" w:rsidRPr="006C1C1D" w:rsidRDefault="006652AC" w:rsidP="006652AC">
      <w:pPr>
        <w:pStyle w:val="ListParagraph"/>
        <w:numPr>
          <w:ilvl w:val="0"/>
          <w:numId w:val="1"/>
        </w:numPr>
        <w:spacing w:line="480" w:lineRule="auto"/>
        <w:ind w:left="425" w:hanging="425"/>
        <w:rPr>
          <w:rFonts w:asciiTheme="majorHAnsi" w:hAnsiTheme="majorHAnsi"/>
          <w:sz w:val="24"/>
          <w:szCs w:val="24"/>
          <w:lang w:val="en-US"/>
        </w:rPr>
      </w:pPr>
      <w:r w:rsidRPr="006C1C1D">
        <w:rPr>
          <w:rFonts w:asciiTheme="majorHAnsi" w:hAnsiTheme="majorHAnsi"/>
          <w:sz w:val="24"/>
          <w:szCs w:val="24"/>
          <w:lang w:val="en-US"/>
        </w:rPr>
        <w:t>Specify the exception code</w:t>
      </w:r>
      <w:r w:rsidR="00D1360C" w:rsidRPr="006C1C1D">
        <w:rPr>
          <w:rFonts w:asciiTheme="majorHAnsi" w:hAnsiTheme="majorHAnsi"/>
          <w:sz w:val="24"/>
          <w:szCs w:val="24"/>
          <w:lang w:val="en-US"/>
        </w:rPr>
        <w:t>(s)</w:t>
      </w:r>
      <w:r w:rsidRPr="006C1C1D">
        <w:rPr>
          <w:rFonts w:asciiTheme="majorHAnsi" w:hAnsiTheme="majorHAnsi"/>
          <w:sz w:val="24"/>
          <w:szCs w:val="24"/>
          <w:lang w:val="en-US"/>
        </w:rPr>
        <w:t>:</w:t>
      </w:r>
      <w:r w:rsidR="005D478D" w:rsidRPr="006C1C1D">
        <w:rPr>
          <w:rFonts w:asciiTheme="majorHAnsi" w:hAnsiTheme="majorHAnsi"/>
          <w:sz w:val="24"/>
          <w:szCs w:val="24"/>
          <w:lang w:val="en-US"/>
        </w:rPr>
        <w:t xml:space="preserve"> </w:t>
      </w:r>
      <w:r w:rsidRPr="006C1C1D">
        <w:rPr>
          <w:rFonts w:asciiTheme="majorHAnsi" w:hAnsiTheme="majorHAnsi"/>
          <w:sz w:val="24"/>
          <w:szCs w:val="24"/>
          <w:lang w:val="en-US"/>
        </w:rPr>
        <w:t>______</w:t>
      </w:r>
      <w:r w:rsidR="00D1360C" w:rsidRPr="006C1C1D">
        <w:rPr>
          <w:rFonts w:asciiTheme="majorHAnsi" w:hAnsiTheme="majorHAnsi"/>
          <w:sz w:val="24"/>
          <w:szCs w:val="24"/>
          <w:lang w:val="en-US"/>
        </w:rPr>
        <w:t xml:space="preserve"> </w:t>
      </w:r>
      <w:r w:rsidRPr="006C1C1D">
        <w:rPr>
          <w:rFonts w:asciiTheme="majorHAnsi" w:hAnsiTheme="majorHAnsi"/>
          <w:sz w:val="24"/>
          <w:szCs w:val="24"/>
          <w:lang w:val="en-US"/>
        </w:rPr>
        <w:t xml:space="preserve">(see attached Appendix </w:t>
      </w:r>
      <w:r w:rsidR="00D1360C" w:rsidRPr="006C1C1D">
        <w:rPr>
          <w:rFonts w:asciiTheme="majorHAnsi" w:hAnsiTheme="majorHAnsi"/>
          <w:sz w:val="24"/>
          <w:szCs w:val="24"/>
          <w:lang w:val="en-US"/>
        </w:rPr>
        <w:t>listing the</w:t>
      </w:r>
      <w:r w:rsidRPr="006C1C1D">
        <w:rPr>
          <w:rFonts w:asciiTheme="majorHAnsi" w:hAnsiTheme="majorHAnsi"/>
          <w:sz w:val="24"/>
          <w:szCs w:val="24"/>
          <w:lang w:val="en-US"/>
        </w:rPr>
        <w:t xml:space="preserve"> </w:t>
      </w:r>
      <w:r w:rsidR="00D1360C" w:rsidRPr="006C1C1D">
        <w:rPr>
          <w:rFonts w:asciiTheme="majorHAnsi" w:hAnsiTheme="majorHAnsi"/>
          <w:sz w:val="24"/>
          <w:szCs w:val="24"/>
          <w:lang w:val="en-US"/>
        </w:rPr>
        <w:t>e</w:t>
      </w:r>
      <w:r w:rsidRPr="006C1C1D">
        <w:rPr>
          <w:rFonts w:asciiTheme="majorHAnsi" w:hAnsiTheme="majorHAnsi"/>
          <w:sz w:val="24"/>
          <w:szCs w:val="24"/>
          <w:lang w:val="en-US"/>
        </w:rPr>
        <w:t xml:space="preserve">xception </w:t>
      </w:r>
      <w:r w:rsidR="00D1360C" w:rsidRPr="006C1C1D">
        <w:rPr>
          <w:rFonts w:asciiTheme="majorHAnsi" w:hAnsiTheme="majorHAnsi"/>
          <w:sz w:val="24"/>
          <w:szCs w:val="24"/>
          <w:lang w:val="en-US"/>
        </w:rPr>
        <w:t>c</w:t>
      </w:r>
      <w:r w:rsidRPr="006C1C1D">
        <w:rPr>
          <w:rFonts w:asciiTheme="majorHAnsi" w:hAnsiTheme="majorHAnsi"/>
          <w:sz w:val="24"/>
          <w:szCs w:val="24"/>
          <w:lang w:val="en-US"/>
        </w:rPr>
        <w:t>odes)</w:t>
      </w:r>
    </w:p>
    <w:p w:rsidR="00D97E62" w:rsidRPr="006C1C1D" w:rsidRDefault="00D97E62" w:rsidP="00585BA2">
      <w:pPr>
        <w:pStyle w:val="ListParagraph"/>
        <w:numPr>
          <w:ilvl w:val="0"/>
          <w:numId w:val="1"/>
        </w:numPr>
        <w:spacing w:after="0" w:line="480" w:lineRule="auto"/>
        <w:ind w:left="425" w:hanging="425"/>
        <w:rPr>
          <w:rFonts w:asciiTheme="majorHAnsi" w:hAnsiTheme="majorHAnsi"/>
          <w:sz w:val="24"/>
          <w:szCs w:val="24"/>
          <w:lang w:val="en-US"/>
        </w:rPr>
      </w:pPr>
      <w:r w:rsidRPr="006C1C1D">
        <w:rPr>
          <w:rFonts w:asciiTheme="majorHAnsi" w:hAnsiTheme="majorHAnsi"/>
          <w:sz w:val="24"/>
          <w:szCs w:val="24"/>
          <w:lang w:val="en-US"/>
        </w:rPr>
        <w:t>Estimated Total Cost:</w:t>
      </w:r>
      <w:r w:rsidR="005D478D" w:rsidRPr="006C1C1D">
        <w:rPr>
          <w:rFonts w:asciiTheme="majorHAnsi" w:hAnsiTheme="majorHAnsi"/>
          <w:sz w:val="24"/>
          <w:szCs w:val="24"/>
          <w:lang w:val="en-US"/>
        </w:rPr>
        <w:t xml:space="preserve"> _____________________</w:t>
      </w:r>
    </w:p>
    <w:p w:rsidR="006652AC" w:rsidRPr="006C1C1D" w:rsidRDefault="006652AC" w:rsidP="00585BA2">
      <w:pPr>
        <w:pStyle w:val="ListParagraph"/>
        <w:numPr>
          <w:ilvl w:val="0"/>
          <w:numId w:val="1"/>
        </w:numPr>
        <w:spacing w:line="360" w:lineRule="auto"/>
        <w:ind w:left="425" w:hanging="425"/>
        <w:rPr>
          <w:rFonts w:asciiTheme="majorHAnsi" w:hAnsiTheme="majorHAnsi"/>
          <w:sz w:val="24"/>
          <w:szCs w:val="24"/>
          <w:lang w:val="en-US"/>
        </w:rPr>
      </w:pPr>
      <w:r w:rsidRPr="006C1C1D">
        <w:rPr>
          <w:rFonts w:asciiTheme="majorHAnsi" w:hAnsiTheme="majorHAnsi"/>
          <w:sz w:val="24"/>
          <w:szCs w:val="24"/>
          <w:lang w:val="en-US"/>
        </w:rPr>
        <w:t>Name of Recommended Supplier:</w:t>
      </w:r>
      <w:r w:rsidR="005D478D" w:rsidRPr="006C1C1D">
        <w:rPr>
          <w:rFonts w:asciiTheme="majorHAnsi" w:hAnsiTheme="majorHAnsi"/>
          <w:sz w:val="24"/>
          <w:szCs w:val="24"/>
          <w:lang w:val="en-US"/>
        </w:rPr>
        <w:t xml:space="preserve"> </w:t>
      </w:r>
      <w:r w:rsidRPr="006C1C1D">
        <w:rPr>
          <w:rFonts w:asciiTheme="majorHAnsi" w:hAnsiTheme="majorHAnsi"/>
          <w:sz w:val="24"/>
          <w:szCs w:val="24"/>
          <w:lang w:val="en-US"/>
        </w:rPr>
        <w:t>______________________________________</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648"/>
        <w:gridCol w:w="360"/>
        <w:gridCol w:w="648"/>
        <w:gridCol w:w="360"/>
        <w:gridCol w:w="648"/>
      </w:tblGrid>
      <w:tr w:rsidR="006C1C1D" w:rsidRPr="006C1C1D" w:rsidTr="001C7958">
        <w:trPr>
          <w:trHeight w:val="281"/>
        </w:trPr>
        <w:tc>
          <w:tcPr>
            <w:tcW w:w="360" w:type="dxa"/>
            <w:shd w:val="clear" w:color="auto" w:fill="auto"/>
          </w:tcPr>
          <w:p w:rsidR="006C1C1D" w:rsidRPr="006C1C1D" w:rsidRDefault="006C1C1D" w:rsidP="006C1C1D">
            <w:pPr>
              <w:spacing w:after="0" w:line="240" w:lineRule="auto"/>
              <w:rPr>
                <w:rFonts w:asciiTheme="majorHAnsi" w:hAnsiTheme="majorHAnsi"/>
                <w:sz w:val="16"/>
                <w:szCs w:val="16"/>
                <w:lang w:val="en-US"/>
              </w:rPr>
            </w:pPr>
          </w:p>
        </w:tc>
        <w:tc>
          <w:tcPr>
            <w:tcW w:w="648" w:type="dxa"/>
            <w:tcBorders>
              <w:top w:val="nil"/>
              <w:bottom w:val="nil"/>
            </w:tcBorders>
            <w:shd w:val="clear" w:color="auto" w:fill="auto"/>
          </w:tcPr>
          <w:p w:rsidR="006C1C1D" w:rsidRPr="006C1C1D" w:rsidRDefault="006C1C1D" w:rsidP="006C1C1D">
            <w:pPr>
              <w:spacing w:after="0" w:line="240" w:lineRule="auto"/>
              <w:jc w:val="both"/>
              <w:rPr>
                <w:rFonts w:asciiTheme="majorHAnsi" w:hAnsiTheme="majorHAnsi"/>
                <w:sz w:val="24"/>
                <w:szCs w:val="24"/>
                <w:lang w:val="en-US"/>
              </w:rPr>
            </w:pPr>
            <w:r w:rsidRPr="006C1C1D">
              <w:rPr>
                <w:rFonts w:asciiTheme="majorHAnsi" w:hAnsiTheme="majorHAnsi"/>
                <w:sz w:val="24"/>
                <w:szCs w:val="24"/>
                <w:lang w:val="en-US"/>
              </w:rPr>
              <w:t>Yes</w:t>
            </w:r>
          </w:p>
        </w:tc>
        <w:tc>
          <w:tcPr>
            <w:tcW w:w="360" w:type="dxa"/>
            <w:shd w:val="clear" w:color="auto" w:fill="auto"/>
          </w:tcPr>
          <w:p w:rsidR="006C1C1D" w:rsidRPr="006C1C1D" w:rsidRDefault="006C1C1D" w:rsidP="006C1C1D">
            <w:pPr>
              <w:spacing w:after="0" w:line="240" w:lineRule="auto"/>
              <w:rPr>
                <w:rFonts w:asciiTheme="majorHAnsi" w:hAnsiTheme="majorHAnsi"/>
                <w:sz w:val="24"/>
                <w:szCs w:val="24"/>
                <w:lang w:val="en-US"/>
              </w:rPr>
            </w:pPr>
          </w:p>
        </w:tc>
        <w:tc>
          <w:tcPr>
            <w:tcW w:w="648" w:type="dxa"/>
            <w:tcBorders>
              <w:top w:val="nil"/>
              <w:bottom w:val="nil"/>
            </w:tcBorders>
            <w:shd w:val="clear" w:color="auto" w:fill="auto"/>
          </w:tcPr>
          <w:p w:rsidR="006C1C1D" w:rsidRPr="006C1C1D" w:rsidRDefault="006C1C1D" w:rsidP="006C1C1D">
            <w:pPr>
              <w:spacing w:after="0" w:line="240" w:lineRule="auto"/>
              <w:rPr>
                <w:rFonts w:asciiTheme="majorHAnsi" w:hAnsiTheme="majorHAnsi"/>
                <w:sz w:val="24"/>
                <w:szCs w:val="24"/>
                <w:lang w:val="en-US"/>
              </w:rPr>
            </w:pPr>
            <w:r w:rsidRPr="006C1C1D">
              <w:rPr>
                <w:rFonts w:asciiTheme="majorHAnsi" w:hAnsiTheme="majorHAnsi"/>
                <w:sz w:val="24"/>
                <w:szCs w:val="24"/>
                <w:lang w:val="en-US"/>
              </w:rPr>
              <w:t>No</w:t>
            </w:r>
          </w:p>
        </w:tc>
        <w:tc>
          <w:tcPr>
            <w:tcW w:w="360" w:type="dxa"/>
            <w:shd w:val="clear" w:color="auto" w:fill="auto"/>
          </w:tcPr>
          <w:p w:rsidR="006C1C1D" w:rsidRPr="006C1C1D" w:rsidRDefault="006C1C1D" w:rsidP="006C1C1D">
            <w:pPr>
              <w:spacing w:after="0" w:line="240" w:lineRule="auto"/>
              <w:rPr>
                <w:rFonts w:asciiTheme="majorHAnsi" w:hAnsiTheme="majorHAnsi"/>
                <w:sz w:val="24"/>
                <w:szCs w:val="24"/>
                <w:lang w:val="en-US"/>
              </w:rPr>
            </w:pPr>
          </w:p>
        </w:tc>
        <w:tc>
          <w:tcPr>
            <w:tcW w:w="648" w:type="dxa"/>
            <w:tcBorders>
              <w:top w:val="nil"/>
              <w:bottom w:val="nil"/>
              <w:right w:val="nil"/>
            </w:tcBorders>
            <w:shd w:val="clear" w:color="auto" w:fill="auto"/>
          </w:tcPr>
          <w:p w:rsidR="006C1C1D" w:rsidRPr="006C1C1D" w:rsidRDefault="006C1C1D" w:rsidP="006C1C1D">
            <w:pPr>
              <w:spacing w:after="0" w:line="240" w:lineRule="auto"/>
              <w:rPr>
                <w:rFonts w:asciiTheme="majorHAnsi" w:hAnsiTheme="majorHAnsi"/>
                <w:sz w:val="24"/>
                <w:szCs w:val="24"/>
                <w:lang w:val="en-US"/>
              </w:rPr>
            </w:pPr>
            <w:r w:rsidRPr="006C1C1D">
              <w:rPr>
                <w:rFonts w:asciiTheme="majorHAnsi" w:hAnsiTheme="majorHAnsi"/>
                <w:sz w:val="24"/>
                <w:szCs w:val="24"/>
                <w:lang w:val="en-US"/>
              </w:rPr>
              <w:t>N/A</w:t>
            </w:r>
          </w:p>
        </w:tc>
      </w:tr>
    </w:tbl>
    <w:p w:rsidR="006652AC" w:rsidRPr="006C1C1D" w:rsidRDefault="006652AC" w:rsidP="00585BA2">
      <w:pPr>
        <w:pStyle w:val="ListParagraph"/>
        <w:numPr>
          <w:ilvl w:val="0"/>
          <w:numId w:val="1"/>
        </w:numPr>
        <w:spacing w:line="360" w:lineRule="auto"/>
        <w:ind w:left="425" w:hanging="425"/>
        <w:rPr>
          <w:rFonts w:asciiTheme="majorHAnsi" w:hAnsiTheme="majorHAnsi"/>
          <w:sz w:val="24"/>
          <w:szCs w:val="24"/>
          <w:lang w:val="en-US"/>
        </w:rPr>
      </w:pPr>
      <w:r w:rsidRPr="006C1C1D">
        <w:rPr>
          <w:rFonts w:asciiTheme="majorHAnsi" w:hAnsiTheme="majorHAnsi"/>
          <w:sz w:val="24"/>
          <w:szCs w:val="24"/>
          <w:lang w:val="en-US"/>
        </w:rPr>
        <w:t xml:space="preserve">Is the recommended supplier the manufacturer? </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648"/>
        <w:gridCol w:w="360"/>
        <w:gridCol w:w="648"/>
        <w:gridCol w:w="360"/>
        <w:gridCol w:w="648"/>
      </w:tblGrid>
      <w:tr w:rsidR="00D97E62" w:rsidRPr="006C1C1D" w:rsidTr="001C7958">
        <w:trPr>
          <w:trHeight w:val="281"/>
        </w:trPr>
        <w:tc>
          <w:tcPr>
            <w:tcW w:w="360" w:type="dxa"/>
            <w:shd w:val="clear" w:color="auto" w:fill="auto"/>
          </w:tcPr>
          <w:p w:rsidR="00D97E62" w:rsidRPr="006C1C1D" w:rsidRDefault="00D97E62" w:rsidP="00585BA2">
            <w:pPr>
              <w:spacing w:after="0" w:line="240" w:lineRule="auto"/>
              <w:rPr>
                <w:rFonts w:asciiTheme="majorHAnsi" w:hAnsiTheme="majorHAnsi"/>
                <w:sz w:val="16"/>
                <w:szCs w:val="16"/>
                <w:lang w:val="en-US"/>
              </w:rPr>
            </w:pPr>
          </w:p>
        </w:tc>
        <w:tc>
          <w:tcPr>
            <w:tcW w:w="648" w:type="dxa"/>
            <w:tcBorders>
              <w:top w:val="nil"/>
              <w:bottom w:val="nil"/>
            </w:tcBorders>
            <w:shd w:val="clear" w:color="auto" w:fill="auto"/>
          </w:tcPr>
          <w:p w:rsidR="00D97E62" w:rsidRPr="006C1C1D" w:rsidRDefault="00D97E62" w:rsidP="00585BA2">
            <w:pPr>
              <w:spacing w:after="0" w:line="240" w:lineRule="auto"/>
              <w:jc w:val="both"/>
              <w:rPr>
                <w:rFonts w:asciiTheme="majorHAnsi" w:hAnsiTheme="majorHAnsi"/>
                <w:sz w:val="24"/>
                <w:szCs w:val="24"/>
                <w:lang w:val="en-US"/>
              </w:rPr>
            </w:pPr>
            <w:r w:rsidRPr="006C1C1D">
              <w:rPr>
                <w:rFonts w:asciiTheme="majorHAnsi" w:hAnsiTheme="majorHAnsi"/>
                <w:sz w:val="24"/>
                <w:szCs w:val="24"/>
                <w:lang w:val="en-US"/>
              </w:rPr>
              <w:t>Yes</w:t>
            </w:r>
          </w:p>
        </w:tc>
        <w:tc>
          <w:tcPr>
            <w:tcW w:w="360" w:type="dxa"/>
            <w:shd w:val="clear" w:color="auto" w:fill="auto"/>
          </w:tcPr>
          <w:p w:rsidR="00D97E62" w:rsidRPr="006C1C1D" w:rsidRDefault="00D97E62" w:rsidP="00585BA2">
            <w:pPr>
              <w:spacing w:after="0" w:line="240" w:lineRule="auto"/>
              <w:rPr>
                <w:rFonts w:asciiTheme="majorHAnsi" w:hAnsiTheme="majorHAnsi"/>
                <w:sz w:val="24"/>
                <w:szCs w:val="24"/>
                <w:lang w:val="en-US"/>
              </w:rPr>
            </w:pPr>
          </w:p>
        </w:tc>
        <w:tc>
          <w:tcPr>
            <w:tcW w:w="648" w:type="dxa"/>
            <w:tcBorders>
              <w:top w:val="nil"/>
              <w:bottom w:val="nil"/>
            </w:tcBorders>
            <w:shd w:val="clear" w:color="auto" w:fill="auto"/>
          </w:tcPr>
          <w:p w:rsidR="00D97E62" w:rsidRPr="006C1C1D" w:rsidRDefault="00D97E62" w:rsidP="00585BA2">
            <w:pPr>
              <w:spacing w:after="0" w:line="240" w:lineRule="auto"/>
              <w:rPr>
                <w:rFonts w:asciiTheme="majorHAnsi" w:hAnsiTheme="majorHAnsi"/>
                <w:sz w:val="24"/>
                <w:szCs w:val="24"/>
                <w:lang w:val="en-US"/>
              </w:rPr>
            </w:pPr>
            <w:r w:rsidRPr="006C1C1D">
              <w:rPr>
                <w:rFonts w:asciiTheme="majorHAnsi" w:hAnsiTheme="majorHAnsi"/>
                <w:sz w:val="24"/>
                <w:szCs w:val="24"/>
                <w:lang w:val="en-US"/>
              </w:rPr>
              <w:t>No</w:t>
            </w:r>
          </w:p>
        </w:tc>
        <w:tc>
          <w:tcPr>
            <w:tcW w:w="360" w:type="dxa"/>
            <w:shd w:val="clear" w:color="auto" w:fill="auto"/>
          </w:tcPr>
          <w:p w:rsidR="00D97E62" w:rsidRPr="006C1C1D" w:rsidRDefault="00D97E62" w:rsidP="00585BA2">
            <w:pPr>
              <w:spacing w:after="0" w:line="240" w:lineRule="auto"/>
              <w:rPr>
                <w:rFonts w:asciiTheme="majorHAnsi" w:hAnsiTheme="majorHAnsi"/>
                <w:sz w:val="24"/>
                <w:szCs w:val="24"/>
                <w:lang w:val="en-US"/>
              </w:rPr>
            </w:pPr>
          </w:p>
        </w:tc>
        <w:tc>
          <w:tcPr>
            <w:tcW w:w="648" w:type="dxa"/>
            <w:tcBorders>
              <w:top w:val="nil"/>
              <w:bottom w:val="nil"/>
              <w:right w:val="nil"/>
            </w:tcBorders>
            <w:shd w:val="clear" w:color="auto" w:fill="auto"/>
          </w:tcPr>
          <w:p w:rsidR="00D97E62" w:rsidRPr="006C1C1D" w:rsidRDefault="00D97E62" w:rsidP="00585BA2">
            <w:pPr>
              <w:spacing w:after="0" w:line="240" w:lineRule="auto"/>
              <w:rPr>
                <w:rFonts w:asciiTheme="majorHAnsi" w:hAnsiTheme="majorHAnsi"/>
                <w:sz w:val="24"/>
                <w:szCs w:val="24"/>
                <w:lang w:val="en-US"/>
              </w:rPr>
            </w:pPr>
            <w:r w:rsidRPr="006C1C1D">
              <w:rPr>
                <w:rFonts w:asciiTheme="majorHAnsi" w:hAnsiTheme="majorHAnsi"/>
                <w:sz w:val="24"/>
                <w:szCs w:val="24"/>
                <w:lang w:val="en-US"/>
              </w:rPr>
              <w:t>N/A</w:t>
            </w:r>
          </w:p>
        </w:tc>
      </w:tr>
    </w:tbl>
    <w:p w:rsidR="006652AC" w:rsidRPr="006C1C1D" w:rsidRDefault="00D97E62" w:rsidP="00D97E62">
      <w:pPr>
        <w:pStyle w:val="ListParagraph"/>
        <w:numPr>
          <w:ilvl w:val="0"/>
          <w:numId w:val="1"/>
        </w:numPr>
        <w:spacing w:after="0" w:line="240" w:lineRule="auto"/>
        <w:ind w:left="425" w:hanging="425"/>
        <w:rPr>
          <w:rFonts w:asciiTheme="majorHAnsi" w:hAnsiTheme="majorHAnsi"/>
          <w:sz w:val="24"/>
          <w:szCs w:val="24"/>
          <w:lang w:val="en-US"/>
        </w:rPr>
      </w:pPr>
      <w:r w:rsidRPr="006C1C1D">
        <w:rPr>
          <w:rFonts w:asciiTheme="majorHAnsi" w:hAnsiTheme="majorHAnsi"/>
          <w:sz w:val="24"/>
          <w:szCs w:val="24"/>
          <w:lang w:val="en-US"/>
        </w:rPr>
        <w:t>Does the manufacturer sell the item(s) through distributors?</w:t>
      </w:r>
    </w:p>
    <w:p w:rsidR="006652AC" w:rsidRPr="006C1C1D" w:rsidRDefault="006652AC" w:rsidP="00585BA2">
      <w:pPr>
        <w:pStyle w:val="ListParagraph"/>
        <w:spacing w:line="360" w:lineRule="auto"/>
        <w:ind w:left="425"/>
        <w:rPr>
          <w:rFonts w:asciiTheme="majorHAnsi" w:hAnsiTheme="majorHAnsi"/>
          <w:sz w:val="24"/>
          <w:szCs w:val="24"/>
          <w:lang w:val="en-US"/>
        </w:rPr>
      </w:pPr>
    </w:p>
    <w:p w:rsidR="006652AC" w:rsidRPr="006C1C1D" w:rsidRDefault="005D478D" w:rsidP="005D478D">
      <w:pPr>
        <w:pStyle w:val="ListParagraph"/>
        <w:pBdr>
          <w:top w:val="single" w:sz="4" w:space="1" w:color="auto"/>
          <w:left w:val="single" w:sz="4" w:space="4" w:color="auto"/>
          <w:bottom w:val="single" w:sz="4" w:space="1" w:color="auto"/>
          <w:right w:val="single" w:sz="4" w:space="4" w:color="auto"/>
        </w:pBdr>
        <w:spacing w:line="240" w:lineRule="auto"/>
        <w:ind w:left="0"/>
        <w:rPr>
          <w:rFonts w:asciiTheme="majorHAnsi" w:hAnsiTheme="majorHAnsi"/>
          <w:b/>
          <w:sz w:val="24"/>
          <w:szCs w:val="24"/>
          <w:u w:val="single"/>
          <w:lang w:val="en-US"/>
        </w:rPr>
      </w:pPr>
      <w:r w:rsidRPr="006C1C1D">
        <w:rPr>
          <w:rFonts w:asciiTheme="majorHAnsi" w:hAnsiTheme="majorHAnsi"/>
          <w:b/>
          <w:sz w:val="24"/>
          <w:szCs w:val="24"/>
          <w:u w:val="single"/>
          <w:lang w:val="en-US"/>
        </w:rPr>
        <w:t>ACKNOWLEDGEMENT BY APPLICANT</w:t>
      </w:r>
    </w:p>
    <w:p w:rsidR="005D478D" w:rsidRPr="006C1C1D" w:rsidRDefault="005D478D" w:rsidP="005D478D">
      <w:pPr>
        <w:pStyle w:val="ListParagraph"/>
        <w:pBdr>
          <w:top w:val="single" w:sz="4" w:space="1" w:color="auto"/>
          <w:left w:val="single" w:sz="4" w:space="4" w:color="auto"/>
          <w:bottom w:val="single" w:sz="4" w:space="1" w:color="auto"/>
          <w:right w:val="single" w:sz="4" w:space="4" w:color="auto"/>
        </w:pBdr>
        <w:spacing w:line="240" w:lineRule="auto"/>
        <w:ind w:left="0"/>
        <w:rPr>
          <w:rFonts w:asciiTheme="majorHAnsi" w:hAnsiTheme="majorHAnsi"/>
          <w:b/>
          <w:sz w:val="24"/>
          <w:szCs w:val="24"/>
          <w:u w:val="single"/>
          <w:lang w:val="en-US"/>
        </w:rPr>
      </w:pPr>
    </w:p>
    <w:p w:rsidR="005D478D" w:rsidRPr="006C1C1D" w:rsidRDefault="005D478D" w:rsidP="005D478D">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Theme="majorHAnsi" w:hAnsiTheme="majorHAnsi"/>
          <w:sz w:val="24"/>
          <w:szCs w:val="24"/>
          <w:lang w:val="en-US"/>
        </w:rPr>
      </w:pPr>
      <w:r w:rsidRPr="006C1C1D">
        <w:rPr>
          <w:rFonts w:asciiTheme="majorHAnsi" w:hAnsiTheme="majorHAnsi"/>
          <w:sz w:val="24"/>
          <w:szCs w:val="24"/>
          <w:lang w:val="en-US"/>
        </w:rPr>
        <w:t xml:space="preserve">I am aware of The Michener Institute’s </w:t>
      </w:r>
      <w:r w:rsidR="00585BA2" w:rsidRPr="006C1C1D">
        <w:rPr>
          <w:rFonts w:asciiTheme="majorHAnsi" w:hAnsiTheme="majorHAnsi"/>
          <w:sz w:val="24"/>
          <w:szCs w:val="24"/>
          <w:lang w:val="en-US"/>
        </w:rPr>
        <w:t>Procurement Policy</w:t>
      </w:r>
      <w:r w:rsidRPr="006C1C1D">
        <w:rPr>
          <w:rFonts w:asciiTheme="majorHAnsi" w:hAnsiTheme="majorHAnsi"/>
          <w:sz w:val="24"/>
          <w:szCs w:val="24"/>
          <w:lang w:val="en-US"/>
        </w:rPr>
        <w:t xml:space="preserve"> and criteria for approving Single and Sole Sourcing.  I am comfortable the necessary due diligence has been conducted to support the recommendation.  I have fairly and clearly outlined the background, actions taken and required timing of this purchase in the briefing note.</w:t>
      </w:r>
    </w:p>
    <w:p w:rsidR="005D478D" w:rsidRPr="006C1C1D" w:rsidRDefault="005D478D" w:rsidP="005D478D">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Theme="majorHAnsi" w:hAnsiTheme="majorHAnsi"/>
          <w:sz w:val="24"/>
          <w:szCs w:val="24"/>
          <w:lang w:val="en-US"/>
        </w:rPr>
      </w:pPr>
    </w:p>
    <w:p w:rsidR="005D478D" w:rsidRPr="006C1C1D" w:rsidRDefault="005D478D" w:rsidP="009D4E4A">
      <w:pPr>
        <w:pStyle w:val="ListParagraph"/>
        <w:pBdr>
          <w:top w:val="single" w:sz="4" w:space="1" w:color="auto"/>
          <w:left w:val="single" w:sz="4" w:space="4" w:color="auto"/>
          <w:bottom w:val="single" w:sz="4" w:space="1" w:color="auto"/>
          <w:right w:val="single" w:sz="4" w:space="4" w:color="auto"/>
        </w:pBdr>
        <w:tabs>
          <w:tab w:val="right" w:pos="9000"/>
        </w:tabs>
        <w:spacing w:line="480" w:lineRule="auto"/>
        <w:ind w:left="0"/>
        <w:jc w:val="both"/>
        <w:rPr>
          <w:rFonts w:asciiTheme="majorHAnsi" w:hAnsiTheme="majorHAnsi"/>
          <w:sz w:val="24"/>
          <w:szCs w:val="24"/>
          <w:lang w:val="en-US"/>
        </w:rPr>
      </w:pPr>
      <w:r w:rsidRPr="006C1C1D">
        <w:rPr>
          <w:rFonts w:asciiTheme="majorHAnsi" w:hAnsiTheme="majorHAnsi"/>
          <w:sz w:val="24"/>
          <w:szCs w:val="24"/>
          <w:lang w:val="en-US"/>
        </w:rPr>
        <w:t xml:space="preserve">Briefing note prepared by:   </w:t>
      </w:r>
      <w:r w:rsidR="009D4E4A" w:rsidRPr="006C1C1D">
        <w:rPr>
          <w:rFonts w:asciiTheme="majorHAnsi" w:hAnsiTheme="majorHAnsi"/>
          <w:sz w:val="24"/>
          <w:szCs w:val="24"/>
          <w:lang w:val="en-US"/>
        </w:rPr>
        <w:tab/>
      </w:r>
      <w:r w:rsidR="006F7DD6">
        <w:rPr>
          <w:rFonts w:asciiTheme="majorHAnsi" w:hAnsiTheme="majorHAnsi"/>
          <w:sz w:val="24"/>
          <w:szCs w:val="24"/>
          <w:lang w:val="en-US"/>
        </w:rPr>
        <w:t xml:space="preserve">    Name: </w:t>
      </w:r>
      <w:r w:rsidR="003D18E8">
        <w:rPr>
          <w:rFonts w:asciiTheme="majorHAnsi" w:hAnsiTheme="majorHAnsi"/>
          <w:sz w:val="24"/>
          <w:szCs w:val="24"/>
          <w:lang w:val="en-US"/>
        </w:rPr>
        <w:t>_______</w:t>
      </w:r>
      <w:r w:rsidRPr="006C1C1D">
        <w:rPr>
          <w:rFonts w:asciiTheme="majorHAnsi" w:hAnsiTheme="majorHAnsi"/>
          <w:sz w:val="24"/>
          <w:szCs w:val="24"/>
          <w:lang w:val="en-US"/>
        </w:rPr>
        <w:t>________________________</w:t>
      </w:r>
    </w:p>
    <w:p w:rsidR="005D478D" w:rsidRPr="006C1C1D" w:rsidRDefault="003D18E8" w:rsidP="009D4E4A">
      <w:pPr>
        <w:pStyle w:val="ListParagraph"/>
        <w:pBdr>
          <w:top w:val="single" w:sz="4" w:space="1" w:color="auto"/>
          <w:left w:val="single" w:sz="4" w:space="4" w:color="auto"/>
          <w:bottom w:val="single" w:sz="4" w:space="1" w:color="auto"/>
          <w:right w:val="single" w:sz="4" w:space="4" w:color="auto"/>
        </w:pBdr>
        <w:tabs>
          <w:tab w:val="right" w:pos="9000"/>
        </w:tabs>
        <w:spacing w:line="480" w:lineRule="auto"/>
        <w:ind w:left="0"/>
        <w:jc w:val="both"/>
        <w:rPr>
          <w:rFonts w:asciiTheme="majorHAnsi" w:hAnsiTheme="majorHAnsi"/>
          <w:sz w:val="24"/>
          <w:szCs w:val="24"/>
          <w:lang w:val="en-US"/>
        </w:rPr>
      </w:pPr>
      <w:r w:rsidRPr="006C1C1D">
        <w:rPr>
          <w:rFonts w:asciiTheme="majorHAnsi" w:hAnsiTheme="majorHAnsi"/>
          <w:sz w:val="24"/>
          <w:szCs w:val="24"/>
          <w:lang w:val="en-US"/>
        </w:rPr>
        <w:t>Department</w:t>
      </w:r>
      <w:r w:rsidR="005D478D" w:rsidRPr="006C1C1D">
        <w:rPr>
          <w:rFonts w:asciiTheme="majorHAnsi" w:hAnsiTheme="majorHAnsi"/>
          <w:sz w:val="24"/>
          <w:szCs w:val="24"/>
          <w:lang w:val="en-US"/>
        </w:rPr>
        <w:t>: ___________________</w:t>
      </w:r>
      <w:r w:rsidR="009D4E4A" w:rsidRPr="006C1C1D">
        <w:rPr>
          <w:rFonts w:asciiTheme="majorHAnsi" w:hAnsiTheme="majorHAnsi"/>
          <w:sz w:val="24"/>
          <w:szCs w:val="24"/>
          <w:lang w:val="en-US"/>
        </w:rPr>
        <w:tab/>
      </w:r>
      <w:r w:rsidRPr="006C1C1D">
        <w:rPr>
          <w:rFonts w:asciiTheme="majorHAnsi" w:hAnsiTheme="majorHAnsi"/>
          <w:sz w:val="24"/>
          <w:szCs w:val="24"/>
          <w:lang w:val="en-US"/>
        </w:rPr>
        <w:t>Title</w:t>
      </w:r>
      <w:r w:rsidR="005D478D" w:rsidRPr="006C1C1D">
        <w:rPr>
          <w:rFonts w:asciiTheme="majorHAnsi" w:hAnsiTheme="majorHAnsi"/>
          <w:sz w:val="24"/>
          <w:szCs w:val="24"/>
          <w:lang w:val="en-US"/>
        </w:rPr>
        <w:t xml:space="preserve">: </w:t>
      </w:r>
      <w:r>
        <w:rPr>
          <w:rFonts w:asciiTheme="majorHAnsi" w:hAnsiTheme="majorHAnsi"/>
          <w:sz w:val="24"/>
          <w:szCs w:val="24"/>
          <w:lang w:val="en-US"/>
        </w:rPr>
        <w:t>_______</w:t>
      </w:r>
      <w:r w:rsidR="005D478D" w:rsidRPr="006C1C1D">
        <w:rPr>
          <w:rFonts w:asciiTheme="majorHAnsi" w:hAnsiTheme="majorHAnsi"/>
          <w:sz w:val="24"/>
          <w:szCs w:val="24"/>
          <w:lang w:val="en-US"/>
        </w:rPr>
        <w:t>________________________</w:t>
      </w:r>
    </w:p>
    <w:p w:rsidR="005D478D" w:rsidRPr="006C1C1D" w:rsidRDefault="006F7DD6" w:rsidP="00585BA2">
      <w:pPr>
        <w:pStyle w:val="ListParagraph"/>
        <w:pBdr>
          <w:top w:val="single" w:sz="4" w:space="1" w:color="auto"/>
          <w:left w:val="single" w:sz="4" w:space="4" w:color="auto"/>
          <w:bottom w:val="single" w:sz="4" w:space="1" w:color="auto"/>
          <w:right w:val="single" w:sz="4" w:space="4" w:color="auto"/>
        </w:pBdr>
        <w:tabs>
          <w:tab w:val="right" w:pos="9000"/>
        </w:tabs>
        <w:ind w:left="0"/>
        <w:jc w:val="both"/>
        <w:rPr>
          <w:rFonts w:asciiTheme="majorHAnsi" w:hAnsiTheme="majorHAnsi"/>
          <w:sz w:val="24"/>
          <w:szCs w:val="24"/>
          <w:lang w:val="en-US"/>
        </w:rPr>
      </w:pPr>
      <w:r>
        <w:rPr>
          <w:rFonts w:asciiTheme="majorHAnsi" w:hAnsiTheme="majorHAnsi"/>
          <w:sz w:val="24"/>
          <w:szCs w:val="24"/>
          <w:lang w:val="en-US"/>
        </w:rPr>
        <w:t>Date</w:t>
      </w:r>
      <w:r w:rsidR="005D478D" w:rsidRPr="006C1C1D">
        <w:rPr>
          <w:rFonts w:asciiTheme="majorHAnsi" w:hAnsiTheme="majorHAnsi"/>
          <w:sz w:val="24"/>
          <w:szCs w:val="24"/>
          <w:lang w:val="en-US"/>
        </w:rPr>
        <w:t>: ___________________</w:t>
      </w:r>
      <w:r w:rsidR="003D18E8">
        <w:rPr>
          <w:rFonts w:asciiTheme="majorHAnsi" w:hAnsiTheme="majorHAnsi"/>
          <w:sz w:val="24"/>
          <w:szCs w:val="24"/>
          <w:lang w:val="en-US"/>
        </w:rPr>
        <w:t>_____</w:t>
      </w:r>
      <w:r w:rsidR="005D478D" w:rsidRPr="006C1C1D">
        <w:rPr>
          <w:rFonts w:asciiTheme="majorHAnsi" w:hAnsiTheme="majorHAnsi"/>
          <w:sz w:val="24"/>
          <w:szCs w:val="24"/>
          <w:lang w:val="en-US"/>
        </w:rPr>
        <w:t>___</w:t>
      </w:r>
      <w:r w:rsidR="009D4E4A" w:rsidRPr="006C1C1D">
        <w:rPr>
          <w:rFonts w:asciiTheme="majorHAnsi" w:hAnsiTheme="majorHAnsi"/>
          <w:sz w:val="24"/>
          <w:szCs w:val="24"/>
          <w:lang w:val="en-US"/>
        </w:rPr>
        <w:tab/>
      </w:r>
      <w:r w:rsidR="005D478D" w:rsidRPr="006C1C1D">
        <w:rPr>
          <w:rFonts w:asciiTheme="majorHAnsi" w:hAnsiTheme="majorHAnsi"/>
          <w:sz w:val="24"/>
          <w:szCs w:val="24"/>
          <w:lang w:val="en-US"/>
        </w:rPr>
        <w:t xml:space="preserve">  </w:t>
      </w:r>
      <w:r w:rsidR="003D18E8" w:rsidRPr="006C1C1D">
        <w:rPr>
          <w:rFonts w:asciiTheme="majorHAnsi" w:hAnsiTheme="majorHAnsi"/>
          <w:sz w:val="24"/>
          <w:szCs w:val="24"/>
          <w:lang w:val="en-US"/>
        </w:rPr>
        <w:t>Signature</w:t>
      </w:r>
      <w:r w:rsidR="005D478D" w:rsidRPr="006C1C1D">
        <w:rPr>
          <w:rFonts w:asciiTheme="majorHAnsi" w:hAnsiTheme="majorHAnsi"/>
          <w:sz w:val="24"/>
          <w:szCs w:val="24"/>
          <w:lang w:val="en-US"/>
        </w:rPr>
        <w:t xml:space="preserve">: </w:t>
      </w:r>
      <w:r w:rsidR="003D18E8">
        <w:rPr>
          <w:rFonts w:asciiTheme="majorHAnsi" w:hAnsiTheme="majorHAnsi"/>
          <w:sz w:val="24"/>
          <w:szCs w:val="24"/>
          <w:lang w:val="en-US"/>
        </w:rPr>
        <w:t>_______</w:t>
      </w:r>
      <w:r w:rsidR="005D478D" w:rsidRPr="006C1C1D">
        <w:rPr>
          <w:rFonts w:asciiTheme="majorHAnsi" w:hAnsiTheme="majorHAnsi"/>
          <w:sz w:val="24"/>
          <w:szCs w:val="24"/>
          <w:lang w:val="en-US"/>
        </w:rPr>
        <w:t>_</w:t>
      </w:r>
      <w:r w:rsidR="009D4E4A" w:rsidRPr="006C1C1D">
        <w:rPr>
          <w:rFonts w:asciiTheme="majorHAnsi" w:hAnsiTheme="majorHAnsi"/>
          <w:sz w:val="24"/>
          <w:szCs w:val="24"/>
          <w:lang w:val="en-US"/>
        </w:rPr>
        <w:t>_</w:t>
      </w:r>
      <w:r w:rsidR="005D478D" w:rsidRPr="006C1C1D">
        <w:rPr>
          <w:rFonts w:asciiTheme="majorHAnsi" w:hAnsiTheme="majorHAnsi"/>
          <w:sz w:val="24"/>
          <w:szCs w:val="24"/>
          <w:lang w:val="en-US"/>
        </w:rPr>
        <w:t>______________________</w:t>
      </w:r>
    </w:p>
    <w:p w:rsidR="006652AC" w:rsidRPr="006C1C1D" w:rsidRDefault="005D478D" w:rsidP="00966D27">
      <w:pPr>
        <w:spacing w:before="500" w:line="240" w:lineRule="auto"/>
        <w:jc w:val="both"/>
        <w:rPr>
          <w:rFonts w:asciiTheme="majorHAnsi" w:hAnsiTheme="majorHAnsi"/>
          <w:b/>
          <w:sz w:val="24"/>
          <w:szCs w:val="24"/>
          <w:u w:val="single"/>
          <w:lang w:val="en-US"/>
        </w:rPr>
      </w:pPr>
      <w:r w:rsidRPr="006C1C1D">
        <w:rPr>
          <w:rFonts w:asciiTheme="majorHAnsi" w:hAnsiTheme="majorHAnsi"/>
          <w:b/>
          <w:sz w:val="24"/>
          <w:szCs w:val="24"/>
          <w:u w:val="single"/>
          <w:lang w:val="en-US"/>
        </w:rPr>
        <w:t>APPROVAL SIGNATURES</w:t>
      </w:r>
    </w:p>
    <w:p w:rsidR="002C6B89" w:rsidRDefault="002C6B89" w:rsidP="002C6B89">
      <w:pPr>
        <w:spacing w:before="600" w:after="0" w:line="240" w:lineRule="auto"/>
        <w:jc w:val="both"/>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w:t>
      </w:r>
    </w:p>
    <w:p w:rsidR="002C6B89" w:rsidRDefault="00E82DA4" w:rsidP="002C6B89">
      <w:pPr>
        <w:tabs>
          <w:tab w:val="left" w:pos="3780"/>
          <w:tab w:val="left" w:pos="7290"/>
        </w:tabs>
        <w:spacing w:after="240"/>
        <w:jc w:val="both"/>
        <w:rPr>
          <w:rFonts w:asciiTheme="majorHAnsi" w:hAnsiTheme="majorHAnsi"/>
          <w:sz w:val="24"/>
          <w:szCs w:val="24"/>
          <w:lang w:val="en-US"/>
        </w:rPr>
      </w:pPr>
      <w:r>
        <w:rPr>
          <w:rFonts w:asciiTheme="majorHAnsi" w:hAnsiTheme="majorHAnsi"/>
          <w:sz w:val="24"/>
          <w:szCs w:val="24"/>
          <w:lang w:val="en-US"/>
        </w:rPr>
        <w:t>Executive Vice President</w:t>
      </w:r>
      <w:r w:rsidR="002C6B89">
        <w:rPr>
          <w:rFonts w:asciiTheme="majorHAnsi" w:hAnsiTheme="majorHAnsi"/>
          <w:sz w:val="24"/>
          <w:szCs w:val="24"/>
          <w:lang w:val="en-US"/>
        </w:rPr>
        <w:tab/>
      </w:r>
      <w:r w:rsidR="002C6B89">
        <w:rPr>
          <w:rFonts w:asciiTheme="majorHAnsi" w:hAnsiTheme="majorHAnsi"/>
          <w:sz w:val="24"/>
          <w:szCs w:val="24"/>
          <w:lang w:val="en-US"/>
        </w:rPr>
        <w:tab/>
        <w:t>Date</w:t>
      </w:r>
    </w:p>
    <w:p w:rsidR="002C6B89" w:rsidRDefault="002C6B89">
      <w:pPr>
        <w:spacing w:after="0" w:line="240" w:lineRule="auto"/>
        <w:rPr>
          <w:rFonts w:asciiTheme="majorHAnsi" w:hAnsiTheme="majorHAnsi"/>
          <w:b/>
          <w:sz w:val="24"/>
          <w:szCs w:val="24"/>
          <w:lang w:val="en-US"/>
        </w:rPr>
      </w:pPr>
      <w:bookmarkStart w:id="0" w:name="_GoBack"/>
      <w:bookmarkEnd w:id="0"/>
      <w:r>
        <w:rPr>
          <w:rFonts w:asciiTheme="majorHAnsi" w:hAnsiTheme="majorHAnsi"/>
          <w:b/>
          <w:sz w:val="24"/>
          <w:szCs w:val="24"/>
          <w:lang w:val="en-US"/>
        </w:rPr>
        <w:br w:type="page"/>
      </w:r>
    </w:p>
    <w:p w:rsidR="00111143" w:rsidRPr="006C1C1D" w:rsidRDefault="00733F2F" w:rsidP="00EB3D25">
      <w:pPr>
        <w:pBdr>
          <w:top w:val="single" w:sz="4" w:space="1" w:color="auto"/>
          <w:left w:val="single" w:sz="4" w:space="4" w:color="auto"/>
          <w:bottom w:val="single" w:sz="4" w:space="1" w:color="auto"/>
          <w:right w:val="single" w:sz="4" w:space="4" w:color="auto"/>
        </w:pBdr>
        <w:spacing w:after="120"/>
        <w:jc w:val="center"/>
        <w:rPr>
          <w:rFonts w:asciiTheme="majorHAnsi" w:hAnsiTheme="majorHAnsi"/>
          <w:b/>
          <w:sz w:val="24"/>
          <w:szCs w:val="24"/>
          <w:lang w:val="en-US"/>
        </w:rPr>
      </w:pPr>
      <w:r w:rsidRPr="006C1C1D">
        <w:rPr>
          <w:rFonts w:asciiTheme="majorHAnsi" w:hAnsiTheme="majorHAnsi"/>
          <w:b/>
          <w:sz w:val="24"/>
          <w:szCs w:val="24"/>
          <w:lang w:val="en-US"/>
        </w:rPr>
        <w:lastRenderedPageBreak/>
        <w:t xml:space="preserve">The Michener Institute </w:t>
      </w:r>
      <w:r w:rsidR="00111143" w:rsidRPr="006C1C1D">
        <w:rPr>
          <w:rFonts w:asciiTheme="majorHAnsi" w:hAnsiTheme="majorHAnsi"/>
          <w:b/>
          <w:sz w:val="24"/>
          <w:szCs w:val="24"/>
          <w:lang w:val="en-US"/>
        </w:rPr>
        <w:t>Single/Sole Sourcing Approval Form – Exception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1143" w:rsidRPr="006C1C1D" w:rsidTr="007B3A45">
        <w:tc>
          <w:tcPr>
            <w:tcW w:w="4788" w:type="dxa"/>
            <w:tcBorders>
              <w:bottom w:val="single" w:sz="4" w:space="0" w:color="auto"/>
            </w:tcBorders>
            <w:shd w:val="clear" w:color="auto" w:fill="auto"/>
          </w:tcPr>
          <w:p w:rsidR="00111143" w:rsidRPr="006C1C1D" w:rsidRDefault="00111143" w:rsidP="007B3A45">
            <w:pPr>
              <w:spacing w:after="0" w:line="240" w:lineRule="auto"/>
              <w:rPr>
                <w:rFonts w:asciiTheme="majorHAnsi" w:hAnsiTheme="majorHAnsi"/>
                <w:b/>
                <w:sz w:val="20"/>
                <w:szCs w:val="20"/>
                <w:lang w:val="en-US"/>
              </w:rPr>
            </w:pPr>
            <w:r w:rsidRPr="006C1C1D">
              <w:rPr>
                <w:rFonts w:asciiTheme="majorHAnsi" w:hAnsiTheme="majorHAnsi"/>
                <w:b/>
                <w:sz w:val="20"/>
                <w:szCs w:val="20"/>
                <w:lang w:val="en-US"/>
              </w:rPr>
              <w:t>Appendix A – Sole Source</w:t>
            </w:r>
          </w:p>
        </w:tc>
        <w:tc>
          <w:tcPr>
            <w:tcW w:w="4788" w:type="dxa"/>
            <w:tcBorders>
              <w:bottom w:val="single" w:sz="4" w:space="0" w:color="auto"/>
            </w:tcBorders>
            <w:shd w:val="clear" w:color="auto" w:fill="auto"/>
          </w:tcPr>
          <w:p w:rsidR="00111143" w:rsidRPr="006C1C1D" w:rsidRDefault="00111143" w:rsidP="007B3A45">
            <w:pPr>
              <w:spacing w:after="0" w:line="240" w:lineRule="auto"/>
              <w:rPr>
                <w:rFonts w:asciiTheme="majorHAnsi" w:hAnsiTheme="majorHAnsi"/>
                <w:b/>
                <w:sz w:val="20"/>
                <w:szCs w:val="20"/>
                <w:lang w:val="en-US"/>
              </w:rPr>
            </w:pPr>
            <w:r w:rsidRPr="006C1C1D">
              <w:rPr>
                <w:rFonts w:asciiTheme="majorHAnsi" w:hAnsiTheme="majorHAnsi"/>
                <w:b/>
                <w:sz w:val="20"/>
                <w:szCs w:val="20"/>
                <w:lang w:val="en-US"/>
              </w:rPr>
              <w:t xml:space="preserve">Appendix </w:t>
            </w:r>
            <w:r w:rsidR="00D85A3C" w:rsidRPr="006C1C1D">
              <w:rPr>
                <w:rFonts w:asciiTheme="majorHAnsi" w:hAnsiTheme="majorHAnsi"/>
                <w:b/>
                <w:sz w:val="20"/>
                <w:szCs w:val="20"/>
                <w:lang w:val="en-US"/>
              </w:rPr>
              <w:t>B</w:t>
            </w:r>
            <w:r w:rsidRPr="006C1C1D">
              <w:rPr>
                <w:rFonts w:asciiTheme="majorHAnsi" w:hAnsiTheme="majorHAnsi"/>
                <w:b/>
                <w:sz w:val="20"/>
                <w:szCs w:val="20"/>
                <w:lang w:val="en-US"/>
              </w:rPr>
              <w:t xml:space="preserve"> – Single Source</w:t>
            </w:r>
          </w:p>
        </w:tc>
      </w:tr>
      <w:tr w:rsidR="00111143" w:rsidRPr="006C1C1D" w:rsidTr="007B3A45">
        <w:tc>
          <w:tcPr>
            <w:tcW w:w="4788" w:type="dxa"/>
            <w:tcBorders>
              <w:right w:val="nil"/>
            </w:tcBorders>
            <w:shd w:val="clear" w:color="auto" w:fill="595959"/>
          </w:tcPr>
          <w:p w:rsidR="00111143" w:rsidRPr="006C1C1D" w:rsidRDefault="00111143" w:rsidP="007B3A45">
            <w:pPr>
              <w:spacing w:after="0" w:line="240" w:lineRule="auto"/>
              <w:rPr>
                <w:rFonts w:asciiTheme="majorHAnsi" w:hAnsiTheme="majorHAnsi"/>
                <w:b/>
                <w:sz w:val="16"/>
                <w:szCs w:val="16"/>
                <w:lang w:val="en-US"/>
              </w:rPr>
            </w:pPr>
          </w:p>
        </w:tc>
        <w:tc>
          <w:tcPr>
            <w:tcW w:w="4788" w:type="dxa"/>
            <w:tcBorders>
              <w:left w:val="nil"/>
            </w:tcBorders>
            <w:shd w:val="clear" w:color="auto" w:fill="595959"/>
          </w:tcPr>
          <w:p w:rsidR="00111143" w:rsidRPr="006C1C1D" w:rsidRDefault="00111143" w:rsidP="007B3A45">
            <w:pPr>
              <w:spacing w:after="0" w:line="240" w:lineRule="auto"/>
              <w:rPr>
                <w:rFonts w:asciiTheme="majorHAnsi" w:hAnsiTheme="majorHAnsi"/>
                <w:b/>
                <w:sz w:val="16"/>
                <w:szCs w:val="16"/>
                <w:lang w:val="en-US"/>
              </w:rPr>
            </w:pPr>
          </w:p>
        </w:tc>
      </w:tr>
      <w:tr w:rsidR="00111143" w:rsidRPr="006C1C1D" w:rsidTr="007B3A45">
        <w:tc>
          <w:tcPr>
            <w:tcW w:w="4788" w:type="dxa"/>
            <w:tcBorders>
              <w:bottom w:val="single" w:sz="4" w:space="0" w:color="auto"/>
            </w:tcBorders>
            <w:shd w:val="clear" w:color="auto" w:fill="auto"/>
          </w:tcPr>
          <w:p w:rsidR="00111143" w:rsidRPr="006C1C1D" w:rsidRDefault="00111143" w:rsidP="007B3A45">
            <w:pPr>
              <w:spacing w:after="0" w:line="240" w:lineRule="auto"/>
              <w:jc w:val="both"/>
              <w:rPr>
                <w:rFonts w:asciiTheme="majorHAnsi" w:hAnsiTheme="majorHAnsi"/>
                <w:sz w:val="18"/>
                <w:szCs w:val="18"/>
                <w:lang w:val="en-US"/>
              </w:rPr>
            </w:pPr>
            <w:r w:rsidRPr="006C1C1D">
              <w:rPr>
                <w:rFonts w:asciiTheme="majorHAnsi" w:hAnsiTheme="majorHAnsi"/>
                <w:b/>
                <w:sz w:val="18"/>
                <w:szCs w:val="18"/>
                <w:lang w:val="en-US"/>
              </w:rPr>
              <w:t>Sole sourcing</w:t>
            </w:r>
            <w:r w:rsidRPr="006C1C1D">
              <w:rPr>
                <w:rFonts w:asciiTheme="majorHAnsi" w:hAnsiTheme="majorHAnsi"/>
                <w:sz w:val="18"/>
                <w:szCs w:val="18"/>
                <w:lang w:val="en-US"/>
              </w:rPr>
              <w:t xml:space="preserve"> means the use of non-competitive bidding process to acquire goods or services where there is only one available supplier for the source of the goods </w:t>
            </w:r>
            <w:r w:rsidR="00140702" w:rsidRPr="006C1C1D">
              <w:rPr>
                <w:rFonts w:asciiTheme="majorHAnsi" w:hAnsiTheme="majorHAnsi"/>
                <w:sz w:val="18"/>
                <w:szCs w:val="18"/>
                <w:lang w:val="en-US"/>
              </w:rPr>
              <w:t>or</w:t>
            </w:r>
            <w:r w:rsidRPr="006C1C1D">
              <w:rPr>
                <w:rFonts w:asciiTheme="majorHAnsi" w:hAnsiTheme="majorHAnsi"/>
                <w:sz w:val="18"/>
                <w:szCs w:val="18"/>
                <w:lang w:val="en-US"/>
              </w:rPr>
              <w:t xml:space="preserve"> service.  </w:t>
            </w:r>
            <w:r w:rsidR="00140702" w:rsidRPr="006C1C1D">
              <w:rPr>
                <w:rFonts w:asciiTheme="majorHAnsi" w:hAnsiTheme="majorHAnsi"/>
                <w:sz w:val="18"/>
                <w:szCs w:val="18"/>
                <w:lang w:val="en-US"/>
              </w:rPr>
              <w:t xml:space="preserve">In a situation where only one supplier is able to meet the requirements of </w:t>
            </w:r>
            <w:r w:rsidR="008566F9" w:rsidRPr="006C1C1D">
              <w:rPr>
                <w:rFonts w:asciiTheme="majorHAnsi" w:hAnsiTheme="majorHAnsi"/>
                <w:sz w:val="18"/>
                <w:szCs w:val="18"/>
                <w:lang w:val="en-US"/>
              </w:rPr>
              <w:t>procurement</w:t>
            </w:r>
            <w:r w:rsidR="00140702" w:rsidRPr="006C1C1D">
              <w:rPr>
                <w:rFonts w:asciiTheme="majorHAnsi" w:hAnsiTheme="majorHAnsi"/>
                <w:sz w:val="18"/>
                <w:szCs w:val="18"/>
                <w:lang w:val="en-US"/>
              </w:rPr>
              <w:t>, Michener may use sole source strategy where one or more of the allowable exceptions are met.</w:t>
            </w:r>
            <w:r w:rsidRPr="006C1C1D">
              <w:rPr>
                <w:rFonts w:asciiTheme="majorHAnsi" w:hAnsiTheme="majorHAnsi"/>
                <w:sz w:val="18"/>
                <w:szCs w:val="18"/>
                <w:lang w:val="en-US"/>
              </w:rPr>
              <w:t xml:space="preserve">  </w:t>
            </w:r>
          </w:p>
        </w:tc>
        <w:tc>
          <w:tcPr>
            <w:tcW w:w="4788" w:type="dxa"/>
            <w:tcBorders>
              <w:bottom w:val="single" w:sz="4" w:space="0" w:color="auto"/>
            </w:tcBorders>
            <w:shd w:val="clear" w:color="auto" w:fill="auto"/>
          </w:tcPr>
          <w:p w:rsidR="00111143" w:rsidRPr="006C1C1D" w:rsidRDefault="00111143" w:rsidP="007B3A45">
            <w:pPr>
              <w:spacing w:after="0" w:line="240" w:lineRule="auto"/>
              <w:jc w:val="both"/>
              <w:rPr>
                <w:rFonts w:asciiTheme="majorHAnsi" w:hAnsiTheme="majorHAnsi"/>
                <w:sz w:val="18"/>
                <w:szCs w:val="18"/>
                <w:lang w:val="en-US"/>
              </w:rPr>
            </w:pPr>
            <w:r w:rsidRPr="006C1C1D">
              <w:rPr>
                <w:rFonts w:asciiTheme="majorHAnsi" w:hAnsiTheme="majorHAnsi"/>
                <w:b/>
                <w:sz w:val="18"/>
                <w:szCs w:val="18"/>
                <w:lang w:val="en-US"/>
              </w:rPr>
              <w:t>Single sourcing</w:t>
            </w:r>
            <w:r w:rsidRPr="006C1C1D">
              <w:rPr>
                <w:rFonts w:asciiTheme="majorHAnsi" w:hAnsiTheme="majorHAnsi"/>
                <w:sz w:val="18"/>
                <w:szCs w:val="18"/>
                <w:lang w:val="en-US"/>
              </w:rPr>
              <w:t xml:space="preserve"> means the use of a non-competitive b</w:t>
            </w:r>
            <w:r w:rsidR="00140702" w:rsidRPr="006C1C1D">
              <w:rPr>
                <w:rFonts w:asciiTheme="majorHAnsi" w:hAnsiTheme="majorHAnsi"/>
                <w:sz w:val="18"/>
                <w:szCs w:val="18"/>
                <w:lang w:val="en-US"/>
              </w:rPr>
              <w:t>idding process to acquire goods, services or construction from a specific supplier even though there may be more than one supplier capable of delivering the same goods, services or construction.</w:t>
            </w:r>
          </w:p>
        </w:tc>
      </w:tr>
      <w:tr w:rsidR="00111143" w:rsidRPr="006C1C1D" w:rsidTr="007B3A45">
        <w:tc>
          <w:tcPr>
            <w:tcW w:w="4788" w:type="dxa"/>
            <w:tcBorders>
              <w:right w:val="nil"/>
            </w:tcBorders>
            <w:shd w:val="clear" w:color="auto" w:fill="595959"/>
          </w:tcPr>
          <w:p w:rsidR="00111143" w:rsidRPr="006C1C1D" w:rsidRDefault="00111143" w:rsidP="007B3A45">
            <w:pPr>
              <w:spacing w:after="0" w:line="240" w:lineRule="auto"/>
              <w:rPr>
                <w:rFonts w:asciiTheme="majorHAnsi" w:hAnsiTheme="majorHAnsi"/>
                <w:b/>
                <w:sz w:val="16"/>
                <w:szCs w:val="16"/>
                <w:lang w:val="en-US"/>
              </w:rPr>
            </w:pPr>
          </w:p>
        </w:tc>
        <w:tc>
          <w:tcPr>
            <w:tcW w:w="4788" w:type="dxa"/>
            <w:tcBorders>
              <w:left w:val="nil"/>
            </w:tcBorders>
            <w:shd w:val="clear" w:color="auto" w:fill="595959"/>
          </w:tcPr>
          <w:p w:rsidR="00111143" w:rsidRPr="006C1C1D" w:rsidRDefault="00111143" w:rsidP="007B3A45">
            <w:pPr>
              <w:spacing w:after="0" w:line="240" w:lineRule="auto"/>
              <w:rPr>
                <w:rFonts w:asciiTheme="majorHAnsi" w:hAnsiTheme="majorHAnsi"/>
                <w:b/>
                <w:sz w:val="16"/>
                <w:szCs w:val="16"/>
                <w:lang w:val="en-US"/>
              </w:rPr>
            </w:pPr>
          </w:p>
        </w:tc>
      </w:tr>
      <w:tr w:rsidR="00140702" w:rsidRPr="006C1C1D" w:rsidTr="007B3A45">
        <w:tc>
          <w:tcPr>
            <w:tcW w:w="4788" w:type="dxa"/>
            <w:shd w:val="clear" w:color="auto" w:fill="auto"/>
          </w:tcPr>
          <w:p w:rsidR="00140702" w:rsidRPr="006C1C1D" w:rsidRDefault="00140702" w:rsidP="007B3A45">
            <w:pPr>
              <w:spacing w:after="0" w:line="240" w:lineRule="auto"/>
              <w:rPr>
                <w:rFonts w:asciiTheme="majorHAnsi" w:hAnsiTheme="majorHAnsi"/>
                <w:b/>
                <w:sz w:val="18"/>
                <w:szCs w:val="18"/>
                <w:lang w:val="en-US"/>
              </w:rPr>
            </w:pPr>
            <w:r w:rsidRPr="006C1C1D">
              <w:rPr>
                <w:rFonts w:asciiTheme="majorHAnsi" w:hAnsiTheme="majorHAnsi"/>
                <w:b/>
                <w:sz w:val="18"/>
                <w:szCs w:val="18"/>
                <w:lang w:val="en-US"/>
              </w:rPr>
              <w:t>Allowable exceptions for sole source competitive bidding include:</w:t>
            </w:r>
          </w:p>
        </w:tc>
        <w:tc>
          <w:tcPr>
            <w:tcW w:w="4788" w:type="dxa"/>
            <w:shd w:val="clear" w:color="auto" w:fill="auto"/>
          </w:tcPr>
          <w:p w:rsidR="00140702" w:rsidRPr="006C1C1D" w:rsidRDefault="00140702" w:rsidP="007B3A45">
            <w:pPr>
              <w:spacing w:after="0" w:line="240" w:lineRule="auto"/>
              <w:rPr>
                <w:rFonts w:asciiTheme="majorHAnsi" w:hAnsiTheme="majorHAnsi"/>
                <w:b/>
                <w:sz w:val="18"/>
                <w:szCs w:val="18"/>
                <w:lang w:val="en-US"/>
              </w:rPr>
            </w:pPr>
            <w:r w:rsidRPr="006C1C1D">
              <w:rPr>
                <w:rFonts w:asciiTheme="majorHAnsi" w:hAnsiTheme="majorHAnsi"/>
                <w:b/>
                <w:sz w:val="18"/>
                <w:szCs w:val="18"/>
                <w:lang w:val="en-US"/>
              </w:rPr>
              <w:t>Allowable exceptions for single source competitive bidding include:</w:t>
            </w:r>
          </w:p>
        </w:tc>
      </w:tr>
      <w:tr w:rsidR="00533A17" w:rsidRPr="006C1C1D" w:rsidTr="007B3A45">
        <w:tc>
          <w:tcPr>
            <w:tcW w:w="4788" w:type="dxa"/>
            <w:shd w:val="clear" w:color="auto" w:fill="auto"/>
          </w:tcPr>
          <w:p w:rsidR="00533A17" w:rsidRPr="006C1C1D" w:rsidRDefault="00533A17" w:rsidP="007B3A45">
            <w:pPr>
              <w:pStyle w:val="ListParagraph"/>
              <w:numPr>
                <w:ilvl w:val="0"/>
                <w:numId w:val="2"/>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To ensure compatibility with existing products, to recognize exclusive rights, such as exclusive licenses, copyright and patent rights or to maintain specialized products that must be maintained by the manufacturer or its representative;</w:t>
            </w:r>
          </w:p>
        </w:tc>
        <w:tc>
          <w:tcPr>
            <w:tcW w:w="4788" w:type="dxa"/>
            <w:shd w:val="clear" w:color="auto" w:fill="auto"/>
          </w:tcPr>
          <w:p w:rsidR="00533A17" w:rsidRPr="006C1C1D" w:rsidRDefault="00533A17" w:rsidP="007B3A45">
            <w:pPr>
              <w:pStyle w:val="ListParagraph"/>
              <w:numPr>
                <w:ilvl w:val="0"/>
                <w:numId w:val="5"/>
              </w:numPr>
              <w:spacing w:after="0" w:line="240" w:lineRule="auto"/>
              <w:ind w:left="315" w:hanging="283"/>
              <w:jc w:val="both"/>
              <w:rPr>
                <w:rFonts w:asciiTheme="majorHAnsi" w:hAnsiTheme="majorHAnsi"/>
                <w:sz w:val="18"/>
                <w:szCs w:val="18"/>
                <w:lang w:val="en-US"/>
              </w:rPr>
            </w:pPr>
            <w:r w:rsidRPr="006C1C1D">
              <w:rPr>
                <w:rFonts w:asciiTheme="majorHAnsi" w:hAnsiTheme="majorHAnsi"/>
                <w:sz w:val="18"/>
                <w:szCs w:val="18"/>
                <w:lang w:val="en-US"/>
              </w:rPr>
              <w:t>Where an unforeseen situation of urgency exists and the goods</w:t>
            </w:r>
            <w:r w:rsidR="007F539E" w:rsidRPr="006C1C1D">
              <w:rPr>
                <w:rFonts w:asciiTheme="majorHAnsi" w:hAnsiTheme="majorHAnsi"/>
                <w:sz w:val="18"/>
                <w:szCs w:val="18"/>
                <w:lang w:val="en-US"/>
              </w:rPr>
              <w:t xml:space="preserve"> or </w:t>
            </w:r>
            <w:r w:rsidRPr="006C1C1D">
              <w:rPr>
                <w:rFonts w:asciiTheme="majorHAnsi" w:hAnsiTheme="majorHAnsi"/>
                <w:sz w:val="18"/>
                <w:szCs w:val="18"/>
                <w:lang w:val="en-US"/>
              </w:rPr>
              <w:t xml:space="preserve">services cannot be obtained </w:t>
            </w:r>
            <w:r w:rsidR="007F539E" w:rsidRPr="006C1C1D">
              <w:rPr>
                <w:rFonts w:asciiTheme="majorHAnsi" w:hAnsiTheme="majorHAnsi"/>
                <w:sz w:val="18"/>
                <w:szCs w:val="18"/>
                <w:lang w:val="en-US"/>
              </w:rPr>
              <w:t xml:space="preserve">in time </w:t>
            </w:r>
            <w:r w:rsidRPr="006C1C1D">
              <w:rPr>
                <w:rFonts w:asciiTheme="majorHAnsi" w:hAnsiTheme="majorHAnsi"/>
                <w:sz w:val="18"/>
                <w:szCs w:val="18"/>
                <w:lang w:val="en-US"/>
              </w:rPr>
              <w:t xml:space="preserve">by means of an open </w:t>
            </w:r>
            <w:r w:rsidR="007F539E" w:rsidRPr="006C1C1D">
              <w:rPr>
                <w:rFonts w:asciiTheme="majorHAnsi" w:hAnsiTheme="majorHAnsi"/>
                <w:sz w:val="18"/>
                <w:szCs w:val="18"/>
                <w:lang w:val="en-US"/>
              </w:rPr>
              <w:t>procurement</w:t>
            </w:r>
            <w:r w:rsidRPr="006C1C1D">
              <w:rPr>
                <w:rFonts w:asciiTheme="majorHAnsi" w:hAnsiTheme="majorHAnsi"/>
                <w:sz w:val="18"/>
                <w:szCs w:val="18"/>
                <w:lang w:val="en-US"/>
              </w:rPr>
              <w:t xml:space="preserve"> process</w:t>
            </w:r>
            <w:r w:rsidR="007B7838" w:rsidRPr="006C1C1D">
              <w:rPr>
                <w:rFonts w:asciiTheme="majorHAnsi" w:hAnsiTheme="majorHAnsi"/>
                <w:sz w:val="18"/>
                <w:szCs w:val="18"/>
                <w:lang w:val="en-US"/>
              </w:rPr>
              <w:t xml:space="preserve">.  </w:t>
            </w:r>
            <w:r w:rsidR="007F539E" w:rsidRPr="006C1C1D">
              <w:rPr>
                <w:rFonts w:asciiTheme="majorHAnsi" w:hAnsiTheme="majorHAnsi"/>
                <w:sz w:val="18"/>
                <w:szCs w:val="18"/>
                <w:lang w:val="en-US"/>
              </w:rPr>
              <w:t>Failure to plan and allow sufficient time for a competitive procurement process does not constitute an unforeseen situation of urgency;</w:t>
            </w:r>
          </w:p>
        </w:tc>
      </w:tr>
      <w:tr w:rsidR="00140702" w:rsidRPr="006C1C1D" w:rsidTr="007B3A45">
        <w:tc>
          <w:tcPr>
            <w:tcW w:w="4788" w:type="dxa"/>
            <w:shd w:val="clear" w:color="auto" w:fill="auto"/>
          </w:tcPr>
          <w:p w:rsidR="00140702" w:rsidRPr="006C1C1D" w:rsidRDefault="00533A17" w:rsidP="007B3A45">
            <w:pPr>
              <w:pStyle w:val="ListParagraph"/>
              <w:numPr>
                <w:ilvl w:val="0"/>
                <w:numId w:val="3"/>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 xml:space="preserve">Where there is an absence of competition for technical reasons and the goods or services can </w:t>
            </w:r>
            <w:r w:rsidR="00EB3D25" w:rsidRPr="006C1C1D">
              <w:rPr>
                <w:rFonts w:asciiTheme="majorHAnsi" w:hAnsiTheme="majorHAnsi"/>
                <w:sz w:val="18"/>
                <w:szCs w:val="18"/>
                <w:lang w:val="en-US"/>
              </w:rPr>
              <w:t xml:space="preserve">be </w:t>
            </w:r>
            <w:r w:rsidRPr="006C1C1D">
              <w:rPr>
                <w:rFonts w:asciiTheme="majorHAnsi" w:hAnsiTheme="majorHAnsi"/>
                <w:sz w:val="18"/>
                <w:szCs w:val="18"/>
                <w:lang w:val="en-US"/>
              </w:rPr>
              <w:t xml:space="preserve">supplied </w:t>
            </w:r>
            <w:r w:rsidR="00EB3D25" w:rsidRPr="006C1C1D">
              <w:rPr>
                <w:rFonts w:asciiTheme="majorHAnsi" w:hAnsiTheme="majorHAnsi"/>
                <w:sz w:val="18"/>
                <w:szCs w:val="18"/>
                <w:lang w:val="en-US"/>
              </w:rPr>
              <w:t xml:space="preserve">only </w:t>
            </w:r>
            <w:r w:rsidRPr="006C1C1D">
              <w:rPr>
                <w:rFonts w:asciiTheme="majorHAnsi" w:hAnsiTheme="majorHAnsi"/>
                <w:sz w:val="18"/>
                <w:szCs w:val="18"/>
                <w:lang w:val="en-US"/>
              </w:rPr>
              <w:t>by a particular supplier and no alternative or substitute exists;</w:t>
            </w:r>
          </w:p>
        </w:tc>
        <w:tc>
          <w:tcPr>
            <w:tcW w:w="4788" w:type="dxa"/>
            <w:shd w:val="clear" w:color="auto" w:fill="auto"/>
          </w:tcPr>
          <w:p w:rsidR="00140702" w:rsidRPr="006C1C1D" w:rsidRDefault="007B7838" w:rsidP="007B3A45">
            <w:pPr>
              <w:pStyle w:val="ListParagraph"/>
              <w:numPr>
                <w:ilvl w:val="0"/>
                <w:numId w:val="5"/>
              </w:numPr>
              <w:spacing w:after="0" w:line="240" w:lineRule="auto"/>
              <w:ind w:left="315" w:hanging="283"/>
              <w:jc w:val="both"/>
              <w:rPr>
                <w:rFonts w:asciiTheme="majorHAnsi" w:hAnsiTheme="majorHAnsi"/>
                <w:sz w:val="18"/>
                <w:szCs w:val="18"/>
                <w:lang w:val="en-US"/>
              </w:rPr>
            </w:pPr>
            <w:r w:rsidRPr="006C1C1D">
              <w:rPr>
                <w:rFonts w:asciiTheme="majorHAnsi" w:hAnsiTheme="majorHAnsi"/>
                <w:sz w:val="18"/>
                <w:szCs w:val="18"/>
                <w:lang w:val="en-US"/>
              </w:rPr>
              <w:t xml:space="preserve">Where goods or services regarding matters of a confidential or privileged nature are to be purchased and the disclosure of those matters through an open </w:t>
            </w:r>
            <w:r w:rsidR="007F539E" w:rsidRPr="006C1C1D">
              <w:rPr>
                <w:rFonts w:asciiTheme="majorHAnsi" w:hAnsiTheme="majorHAnsi"/>
                <w:sz w:val="18"/>
                <w:szCs w:val="18"/>
                <w:lang w:val="en-US"/>
              </w:rPr>
              <w:t>tendering</w:t>
            </w:r>
            <w:r w:rsidRPr="006C1C1D">
              <w:rPr>
                <w:rFonts w:asciiTheme="majorHAnsi" w:hAnsiTheme="majorHAnsi"/>
                <w:sz w:val="18"/>
                <w:szCs w:val="18"/>
                <w:lang w:val="en-US"/>
              </w:rPr>
              <w:t xml:space="preserve"> process could reasonably be expected to compromise </w:t>
            </w:r>
            <w:r w:rsidR="007F539E" w:rsidRPr="006C1C1D">
              <w:rPr>
                <w:rFonts w:asciiTheme="majorHAnsi" w:hAnsiTheme="majorHAnsi"/>
                <w:sz w:val="18"/>
                <w:szCs w:val="18"/>
                <w:lang w:val="en-US"/>
              </w:rPr>
              <w:t xml:space="preserve">government </w:t>
            </w:r>
            <w:r w:rsidRPr="006C1C1D">
              <w:rPr>
                <w:rFonts w:asciiTheme="majorHAnsi" w:hAnsiTheme="majorHAnsi"/>
                <w:sz w:val="18"/>
                <w:szCs w:val="18"/>
                <w:lang w:val="en-US"/>
              </w:rPr>
              <w:t>confidentiality, cause economic disruption or otherwise be contrary to the public interest;</w:t>
            </w:r>
          </w:p>
        </w:tc>
      </w:tr>
      <w:tr w:rsidR="00140702" w:rsidRPr="006C1C1D" w:rsidTr="007B3A45">
        <w:tc>
          <w:tcPr>
            <w:tcW w:w="4788" w:type="dxa"/>
            <w:shd w:val="clear" w:color="auto" w:fill="auto"/>
          </w:tcPr>
          <w:p w:rsidR="00140702" w:rsidRPr="006C1C1D" w:rsidRDefault="007B7838"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the procurement of goods or services, the supply of which is controlled by a supplier that is a statutory monopoly;</w:t>
            </w:r>
          </w:p>
        </w:tc>
        <w:tc>
          <w:tcPr>
            <w:tcW w:w="4788" w:type="dxa"/>
            <w:shd w:val="clear" w:color="auto" w:fill="auto"/>
          </w:tcPr>
          <w:p w:rsidR="00140702" w:rsidRPr="006C1C1D" w:rsidRDefault="00D50A82" w:rsidP="007B3A45">
            <w:pPr>
              <w:pStyle w:val="ListParagraph"/>
              <w:numPr>
                <w:ilvl w:val="0"/>
                <w:numId w:val="8"/>
              </w:numPr>
              <w:spacing w:after="0" w:line="240" w:lineRule="auto"/>
              <w:ind w:left="315" w:hanging="283"/>
              <w:jc w:val="both"/>
              <w:rPr>
                <w:rFonts w:asciiTheme="majorHAnsi" w:hAnsiTheme="majorHAnsi"/>
                <w:sz w:val="18"/>
                <w:szCs w:val="18"/>
                <w:lang w:val="en-US"/>
              </w:rPr>
            </w:pPr>
            <w:r w:rsidRPr="006C1C1D">
              <w:rPr>
                <w:rFonts w:asciiTheme="majorHAnsi" w:hAnsiTheme="majorHAnsi"/>
                <w:sz w:val="18"/>
                <w:szCs w:val="18"/>
                <w:lang w:val="en-US"/>
              </w:rPr>
              <w:t xml:space="preserve">Where a contract is awarded under a cooperation agreement that is financed, in whole or in part, by an international </w:t>
            </w:r>
            <w:r w:rsidR="007F539E" w:rsidRPr="006C1C1D">
              <w:rPr>
                <w:rFonts w:asciiTheme="majorHAnsi" w:hAnsiTheme="majorHAnsi"/>
                <w:sz w:val="18"/>
                <w:szCs w:val="18"/>
                <w:lang w:val="en-US"/>
              </w:rPr>
              <w:t xml:space="preserve">cooperation </w:t>
            </w:r>
            <w:r w:rsidRPr="006C1C1D">
              <w:rPr>
                <w:rFonts w:asciiTheme="majorHAnsi" w:hAnsiTheme="majorHAnsi"/>
                <w:sz w:val="18"/>
                <w:szCs w:val="18"/>
                <w:lang w:val="en-US"/>
              </w:rPr>
              <w:t>organization</w:t>
            </w:r>
            <w:r w:rsidR="007F539E" w:rsidRPr="006C1C1D">
              <w:rPr>
                <w:rFonts w:asciiTheme="majorHAnsi" w:hAnsiTheme="majorHAnsi"/>
                <w:sz w:val="18"/>
                <w:szCs w:val="18"/>
                <w:lang w:val="en-US"/>
              </w:rPr>
              <w:t>,</w:t>
            </w:r>
            <w:r w:rsidRPr="006C1C1D">
              <w:rPr>
                <w:rFonts w:asciiTheme="majorHAnsi" w:hAnsiTheme="majorHAnsi"/>
                <w:sz w:val="18"/>
                <w:szCs w:val="18"/>
                <w:lang w:val="en-US"/>
              </w:rPr>
              <w:t xml:space="preserve"> only to the extent that the agreement </w:t>
            </w:r>
            <w:r w:rsidR="007F539E" w:rsidRPr="006C1C1D">
              <w:rPr>
                <w:rFonts w:asciiTheme="majorHAnsi" w:hAnsiTheme="majorHAnsi"/>
                <w:sz w:val="18"/>
                <w:szCs w:val="18"/>
                <w:lang w:val="en-US"/>
              </w:rPr>
              <w:t>between the entity and the organization i</w:t>
            </w:r>
            <w:r w:rsidRPr="006C1C1D">
              <w:rPr>
                <w:rFonts w:asciiTheme="majorHAnsi" w:hAnsiTheme="majorHAnsi"/>
                <w:sz w:val="18"/>
                <w:szCs w:val="18"/>
                <w:lang w:val="en-US"/>
              </w:rPr>
              <w:t>ncludes rules for awarding contracts</w:t>
            </w:r>
            <w:r w:rsidR="007F539E" w:rsidRPr="006C1C1D">
              <w:rPr>
                <w:rFonts w:asciiTheme="majorHAnsi" w:hAnsiTheme="majorHAnsi"/>
                <w:sz w:val="18"/>
                <w:szCs w:val="18"/>
                <w:lang w:val="en-US"/>
              </w:rPr>
              <w:t xml:space="preserve"> that differ from the obligations set out in the Directive</w:t>
            </w:r>
            <w:r w:rsidRPr="006C1C1D">
              <w:rPr>
                <w:rFonts w:asciiTheme="majorHAnsi" w:hAnsiTheme="majorHAnsi"/>
                <w:sz w:val="18"/>
                <w:szCs w:val="18"/>
                <w:lang w:val="en-US"/>
              </w:rPr>
              <w:t>;</w:t>
            </w:r>
          </w:p>
        </w:tc>
      </w:tr>
      <w:tr w:rsidR="00140702" w:rsidRPr="006C1C1D" w:rsidTr="007B3A45">
        <w:tc>
          <w:tcPr>
            <w:tcW w:w="4788" w:type="dxa"/>
            <w:shd w:val="clear" w:color="auto" w:fill="auto"/>
          </w:tcPr>
          <w:p w:rsidR="00931386" w:rsidRPr="006C1C1D" w:rsidRDefault="00931386"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the purchase of goods on a commodity market;</w:t>
            </w:r>
          </w:p>
        </w:tc>
        <w:tc>
          <w:tcPr>
            <w:tcW w:w="4788" w:type="dxa"/>
            <w:shd w:val="clear" w:color="auto" w:fill="auto"/>
          </w:tcPr>
          <w:p w:rsidR="00140702" w:rsidRPr="006C1C1D" w:rsidRDefault="00EB3D25" w:rsidP="007B3A45">
            <w:pPr>
              <w:pStyle w:val="ListParagraph"/>
              <w:numPr>
                <w:ilvl w:val="0"/>
                <w:numId w:val="10"/>
              </w:numPr>
              <w:spacing w:after="0" w:line="240" w:lineRule="auto"/>
              <w:ind w:left="315" w:hanging="283"/>
              <w:jc w:val="both"/>
              <w:rPr>
                <w:rFonts w:asciiTheme="majorHAnsi" w:hAnsiTheme="majorHAnsi"/>
                <w:sz w:val="18"/>
                <w:szCs w:val="18"/>
                <w:lang w:val="en-US"/>
              </w:rPr>
            </w:pPr>
            <w:r w:rsidRPr="006C1C1D">
              <w:rPr>
                <w:rFonts w:asciiTheme="majorHAnsi" w:hAnsiTheme="majorHAnsi"/>
                <w:sz w:val="18"/>
                <w:szCs w:val="18"/>
                <w:lang w:val="en-US"/>
              </w:rPr>
              <w:t xml:space="preserve">Where construction materials are to be purchased and it can be demonstrated that transportation costs or technical considerations impose geographic limits on the available supply base, specifically in the case of sand, stone, gravel, asphalt, compound and pre-mixed concrete for use in the construction or repair of roads; </w:t>
            </w:r>
          </w:p>
        </w:tc>
      </w:tr>
      <w:tr w:rsidR="00EB3D25" w:rsidRPr="006C1C1D" w:rsidTr="007B3A45">
        <w:tc>
          <w:tcPr>
            <w:tcW w:w="4788" w:type="dxa"/>
            <w:shd w:val="clear" w:color="auto" w:fill="auto"/>
          </w:tcPr>
          <w:p w:rsidR="00EB3D25" w:rsidRPr="006C1C1D" w:rsidRDefault="00EB3D25"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work to be performed on or about a leased building or portions thereof that may be performed only by the lessor;</w:t>
            </w:r>
          </w:p>
        </w:tc>
        <w:tc>
          <w:tcPr>
            <w:tcW w:w="4788" w:type="dxa"/>
            <w:shd w:val="clear" w:color="auto" w:fill="auto"/>
          </w:tcPr>
          <w:p w:rsidR="00EB3D25" w:rsidRPr="006C1C1D" w:rsidRDefault="00EB3D25" w:rsidP="007B3A45">
            <w:pPr>
              <w:pStyle w:val="ListParagraph"/>
              <w:numPr>
                <w:ilvl w:val="0"/>
                <w:numId w:val="10"/>
              </w:numPr>
              <w:spacing w:after="0" w:line="240" w:lineRule="auto"/>
              <w:ind w:left="315" w:hanging="283"/>
              <w:jc w:val="both"/>
              <w:rPr>
                <w:rFonts w:asciiTheme="majorHAnsi" w:hAnsiTheme="majorHAnsi"/>
                <w:sz w:val="18"/>
                <w:szCs w:val="18"/>
                <w:lang w:val="en-US"/>
              </w:rPr>
            </w:pPr>
            <w:r w:rsidRPr="006C1C1D">
              <w:rPr>
                <w:rFonts w:asciiTheme="majorHAnsi" w:hAnsiTheme="majorHAnsi"/>
                <w:sz w:val="18"/>
                <w:szCs w:val="18"/>
                <w:lang w:val="en-US"/>
              </w:rPr>
              <w:t xml:space="preserve">Where  compliance with the open tendering provisions set out in the Directive would interfere with Michener’s ability to maintain security or order or to protect human, animal or plant life or health; </w:t>
            </w:r>
          </w:p>
        </w:tc>
      </w:tr>
      <w:tr w:rsidR="00EB3D25" w:rsidRPr="006C1C1D" w:rsidTr="007B3A45">
        <w:tc>
          <w:tcPr>
            <w:tcW w:w="4788" w:type="dxa"/>
            <w:shd w:val="clear" w:color="auto" w:fill="auto"/>
          </w:tcPr>
          <w:p w:rsidR="00EB3D25" w:rsidRPr="006C1C1D" w:rsidRDefault="00EB3D25"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 xml:space="preserve">For work to be performed on property by a contractor according to provisions of a warranty or guarantee held in respect of the property or the original work; </w:t>
            </w:r>
          </w:p>
        </w:tc>
        <w:tc>
          <w:tcPr>
            <w:tcW w:w="4788" w:type="dxa"/>
            <w:tcBorders>
              <w:bottom w:val="single" w:sz="4" w:space="0" w:color="auto"/>
            </w:tcBorders>
            <w:shd w:val="clear" w:color="auto" w:fill="auto"/>
          </w:tcPr>
          <w:p w:rsidR="00EB3D25" w:rsidRPr="006C1C1D" w:rsidRDefault="00EB3D25" w:rsidP="007B3A45">
            <w:pPr>
              <w:pStyle w:val="ListParagraph"/>
              <w:numPr>
                <w:ilvl w:val="0"/>
                <w:numId w:val="16"/>
              </w:numPr>
              <w:spacing w:after="0" w:line="240" w:lineRule="auto"/>
              <w:ind w:left="315" w:hanging="283"/>
              <w:jc w:val="both"/>
              <w:rPr>
                <w:rFonts w:asciiTheme="majorHAnsi" w:hAnsiTheme="majorHAnsi"/>
                <w:sz w:val="18"/>
                <w:szCs w:val="18"/>
                <w:lang w:val="en-US"/>
              </w:rPr>
            </w:pPr>
            <w:r w:rsidRPr="006C1C1D">
              <w:rPr>
                <w:rFonts w:asciiTheme="majorHAnsi" w:hAnsiTheme="majorHAnsi"/>
                <w:sz w:val="18"/>
                <w:szCs w:val="18"/>
                <w:lang w:val="en-US"/>
              </w:rPr>
              <w:t xml:space="preserve">In the absence of a receipt of any bids in response to a call for proposals or tenders made in accordance  with this Directive; and </w:t>
            </w:r>
          </w:p>
        </w:tc>
      </w:tr>
      <w:tr w:rsidR="007F539E" w:rsidRPr="006C1C1D" w:rsidTr="007B3A45">
        <w:tc>
          <w:tcPr>
            <w:tcW w:w="4788" w:type="dxa"/>
            <w:shd w:val="clear" w:color="auto" w:fill="auto"/>
          </w:tcPr>
          <w:p w:rsidR="007F539E" w:rsidRPr="006C1C1D" w:rsidRDefault="007F539E"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a contract to be awarded to the winner of a design contest;</w:t>
            </w:r>
          </w:p>
        </w:tc>
        <w:tc>
          <w:tcPr>
            <w:tcW w:w="4788" w:type="dxa"/>
            <w:tcBorders>
              <w:bottom w:val="nil"/>
            </w:tcBorders>
            <w:shd w:val="clear" w:color="auto" w:fill="auto"/>
          </w:tcPr>
          <w:p w:rsidR="007F539E" w:rsidRPr="006C1C1D" w:rsidRDefault="007F539E" w:rsidP="007B3A45">
            <w:pPr>
              <w:pStyle w:val="ListParagraph"/>
              <w:numPr>
                <w:ilvl w:val="0"/>
                <w:numId w:val="17"/>
              </w:numPr>
              <w:spacing w:after="0" w:line="240" w:lineRule="auto"/>
              <w:ind w:left="315" w:hanging="283"/>
              <w:jc w:val="both"/>
              <w:rPr>
                <w:rFonts w:asciiTheme="majorHAnsi" w:hAnsiTheme="majorHAnsi"/>
                <w:sz w:val="18"/>
                <w:szCs w:val="18"/>
                <w:lang w:val="en-US"/>
              </w:rPr>
            </w:pPr>
            <w:r w:rsidRPr="006C1C1D">
              <w:rPr>
                <w:rFonts w:asciiTheme="majorHAnsi" w:hAnsiTheme="majorHAnsi"/>
                <w:sz w:val="18"/>
                <w:szCs w:val="18"/>
                <w:lang w:val="en-US"/>
              </w:rPr>
              <w:t xml:space="preserve">Where only one supplier is able to meet the requirements of procurement in the circumstances (sole sourcing). </w:t>
            </w:r>
          </w:p>
        </w:tc>
      </w:tr>
      <w:tr w:rsidR="00D50A82" w:rsidRPr="006C1C1D" w:rsidTr="007B3A45">
        <w:tc>
          <w:tcPr>
            <w:tcW w:w="4788" w:type="dxa"/>
            <w:shd w:val="clear" w:color="auto" w:fill="auto"/>
          </w:tcPr>
          <w:p w:rsidR="00D50A82" w:rsidRPr="006C1C1D" w:rsidRDefault="00D50A82"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the procurement of a prototype or a first good or service to be developed in the course of and for a particular contract for research, experiment, study or original development but not for any subsequent purchases;</w:t>
            </w:r>
          </w:p>
        </w:tc>
        <w:tc>
          <w:tcPr>
            <w:tcW w:w="4788" w:type="dxa"/>
            <w:tcBorders>
              <w:top w:val="nil"/>
              <w:bottom w:val="nil"/>
            </w:tcBorders>
            <w:shd w:val="clear" w:color="auto" w:fill="auto"/>
          </w:tcPr>
          <w:p w:rsidR="00D50A82" w:rsidRPr="006C1C1D" w:rsidRDefault="00D50A82" w:rsidP="007B3A45">
            <w:pPr>
              <w:spacing w:after="0" w:line="240" w:lineRule="auto"/>
              <w:rPr>
                <w:rFonts w:asciiTheme="majorHAnsi" w:hAnsiTheme="majorHAnsi"/>
                <w:b/>
                <w:sz w:val="18"/>
                <w:szCs w:val="18"/>
                <w:lang w:val="en-US"/>
              </w:rPr>
            </w:pPr>
          </w:p>
        </w:tc>
      </w:tr>
      <w:tr w:rsidR="00D50A82" w:rsidRPr="006C1C1D" w:rsidTr="007B3A45">
        <w:tc>
          <w:tcPr>
            <w:tcW w:w="4788" w:type="dxa"/>
            <w:shd w:val="clear" w:color="auto" w:fill="auto"/>
          </w:tcPr>
          <w:p w:rsidR="00D50A82" w:rsidRPr="006C1C1D" w:rsidRDefault="00217E70"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the purchase of goods under exceptionally advantageous circumstances such as bankruptcy or receivership but not for routine purchases;</w:t>
            </w:r>
          </w:p>
        </w:tc>
        <w:tc>
          <w:tcPr>
            <w:tcW w:w="4788" w:type="dxa"/>
            <w:tcBorders>
              <w:top w:val="nil"/>
              <w:bottom w:val="nil"/>
            </w:tcBorders>
            <w:shd w:val="clear" w:color="auto" w:fill="auto"/>
          </w:tcPr>
          <w:p w:rsidR="00D50A82" w:rsidRPr="006C1C1D" w:rsidRDefault="00D50A82" w:rsidP="007B3A45">
            <w:pPr>
              <w:spacing w:after="0" w:line="240" w:lineRule="auto"/>
              <w:rPr>
                <w:rFonts w:asciiTheme="majorHAnsi" w:hAnsiTheme="majorHAnsi"/>
                <w:b/>
                <w:sz w:val="18"/>
                <w:szCs w:val="18"/>
                <w:lang w:val="en-US"/>
              </w:rPr>
            </w:pPr>
          </w:p>
        </w:tc>
      </w:tr>
      <w:tr w:rsidR="00D50A82" w:rsidRPr="006C1C1D" w:rsidTr="007B3A45">
        <w:tc>
          <w:tcPr>
            <w:tcW w:w="4788" w:type="dxa"/>
            <w:shd w:val="clear" w:color="auto" w:fill="auto"/>
          </w:tcPr>
          <w:p w:rsidR="00D50A82" w:rsidRPr="006C1C1D" w:rsidRDefault="00217E70"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the procurement of original works of art;</w:t>
            </w:r>
          </w:p>
        </w:tc>
        <w:tc>
          <w:tcPr>
            <w:tcW w:w="4788" w:type="dxa"/>
            <w:tcBorders>
              <w:top w:val="nil"/>
              <w:bottom w:val="nil"/>
            </w:tcBorders>
            <w:shd w:val="clear" w:color="auto" w:fill="auto"/>
          </w:tcPr>
          <w:p w:rsidR="00D50A82" w:rsidRPr="006C1C1D" w:rsidRDefault="00D50A82" w:rsidP="007B3A45">
            <w:pPr>
              <w:spacing w:after="0" w:line="240" w:lineRule="auto"/>
              <w:rPr>
                <w:rFonts w:asciiTheme="majorHAnsi" w:hAnsiTheme="majorHAnsi"/>
                <w:b/>
                <w:sz w:val="18"/>
                <w:szCs w:val="18"/>
                <w:lang w:val="en-US"/>
              </w:rPr>
            </w:pPr>
          </w:p>
        </w:tc>
      </w:tr>
      <w:tr w:rsidR="00D50A82" w:rsidRPr="006C1C1D" w:rsidTr="007B3A45">
        <w:tc>
          <w:tcPr>
            <w:tcW w:w="4788" w:type="dxa"/>
            <w:shd w:val="clear" w:color="auto" w:fill="auto"/>
          </w:tcPr>
          <w:p w:rsidR="00D50A82" w:rsidRPr="006C1C1D" w:rsidRDefault="00217E70"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the procurement of subscriptions to newspapers, magazines or other periodicals; and</w:t>
            </w:r>
          </w:p>
        </w:tc>
        <w:tc>
          <w:tcPr>
            <w:tcW w:w="4788" w:type="dxa"/>
            <w:tcBorders>
              <w:top w:val="nil"/>
              <w:bottom w:val="nil"/>
            </w:tcBorders>
            <w:shd w:val="clear" w:color="auto" w:fill="auto"/>
          </w:tcPr>
          <w:p w:rsidR="00D50A82" w:rsidRPr="006C1C1D" w:rsidRDefault="00D50A82" w:rsidP="007B3A45">
            <w:pPr>
              <w:spacing w:after="0" w:line="240" w:lineRule="auto"/>
              <w:rPr>
                <w:rFonts w:asciiTheme="majorHAnsi" w:hAnsiTheme="majorHAnsi"/>
                <w:b/>
                <w:sz w:val="18"/>
                <w:szCs w:val="18"/>
                <w:lang w:val="en-US"/>
              </w:rPr>
            </w:pPr>
          </w:p>
        </w:tc>
      </w:tr>
      <w:tr w:rsidR="00D50A82" w:rsidRPr="006C1C1D" w:rsidTr="007B3A45">
        <w:tc>
          <w:tcPr>
            <w:tcW w:w="4788" w:type="dxa"/>
            <w:shd w:val="clear" w:color="auto" w:fill="auto"/>
          </w:tcPr>
          <w:p w:rsidR="00D50A82" w:rsidRPr="006C1C1D" w:rsidRDefault="00217E70" w:rsidP="007B3A45">
            <w:pPr>
              <w:pStyle w:val="ListParagraph"/>
              <w:numPr>
                <w:ilvl w:val="0"/>
                <w:numId w:val="5"/>
              </w:numPr>
              <w:spacing w:after="0" w:line="240" w:lineRule="auto"/>
              <w:ind w:left="284" w:hanging="284"/>
              <w:jc w:val="both"/>
              <w:rPr>
                <w:rFonts w:asciiTheme="majorHAnsi" w:hAnsiTheme="majorHAnsi"/>
                <w:sz w:val="18"/>
                <w:szCs w:val="18"/>
                <w:lang w:val="en-US"/>
              </w:rPr>
            </w:pPr>
            <w:r w:rsidRPr="006C1C1D">
              <w:rPr>
                <w:rFonts w:asciiTheme="majorHAnsi" w:hAnsiTheme="majorHAnsi"/>
                <w:sz w:val="18"/>
                <w:szCs w:val="18"/>
                <w:lang w:val="en-US"/>
              </w:rPr>
              <w:t>For the procurement of real property.</w:t>
            </w:r>
          </w:p>
        </w:tc>
        <w:tc>
          <w:tcPr>
            <w:tcW w:w="4788" w:type="dxa"/>
            <w:tcBorders>
              <w:top w:val="nil"/>
            </w:tcBorders>
            <w:shd w:val="clear" w:color="auto" w:fill="auto"/>
          </w:tcPr>
          <w:p w:rsidR="00D50A82" w:rsidRPr="006C1C1D" w:rsidRDefault="00D50A82" w:rsidP="007B3A45">
            <w:pPr>
              <w:spacing w:after="0" w:line="240" w:lineRule="auto"/>
              <w:rPr>
                <w:rFonts w:asciiTheme="majorHAnsi" w:hAnsiTheme="majorHAnsi"/>
                <w:b/>
                <w:sz w:val="18"/>
                <w:szCs w:val="18"/>
                <w:lang w:val="en-US"/>
              </w:rPr>
            </w:pPr>
          </w:p>
        </w:tc>
      </w:tr>
    </w:tbl>
    <w:p w:rsidR="006C1C1D" w:rsidRDefault="006C1C1D" w:rsidP="006C1C1D">
      <w:pPr>
        <w:jc w:val="both"/>
        <w:rPr>
          <w:rFonts w:asciiTheme="majorHAnsi" w:hAnsiTheme="majorHAnsi"/>
          <w:sz w:val="16"/>
          <w:szCs w:val="16"/>
          <w:lang w:val="en-US"/>
        </w:rPr>
      </w:pPr>
    </w:p>
    <w:sectPr w:rsidR="006C1C1D" w:rsidSect="001C7958">
      <w:footerReference w:type="default" r:id="rId8"/>
      <w:pgSz w:w="12240" w:h="15840" w:code="1"/>
      <w:pgMar w:top="1296" w:right="1440" w:bottom="1008" w:left="1440" w:header="70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1D" w:rsidRDefault="006C1C1D" w:rsidP="00111143">
      <w:pPr>
        <w:spacing w:after="0" w:line="240" w:lineRule="auto"/>
      </w:pPr>
      <w:r>
        <w:separator/>
      </w:r>
    </w:p>
  </w:endnote>
  <w:endnote w:type="continuationSeparator" w:id="0">
    <w:p w:rsidR="006C1C1D" w:rsidRDefault="006C1C1D" w:rsidP="0011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87654451"/>
      <w:docPartObj>
        <w:docPartGallery w:val="Page Numbers (Bottom of Page)"/>
        <w:docPartUnique/>
      </w:docPartObj>
    </w:sdtPr>
    <w:sdtEndPr>
      <w:rPr>
        <w:noProof/>
      </w:rPr>
    </w:sdtEndPr>
    <w:sdtContent>
      <w:p w:rsidR="006C1C1D" w:rsidRPr="006C1C1D" w:rsidRDefault="006C1C1D" w:rsidP="006C1C1D">
        <w:pPr>
          <w:pStyle w:val="Footer"/>
          <w:tabs>
            <w:tab w:val="left" w:pos="4005"/>
          </w:tabs>
          <w:rPr>
            <w:sz w:val="20"/>
          </w:rPr>
        </w:pPr>
        <w:r w:rsidRPr="006C1C1D">
          <w:rPr>
            <w:sz w:val="20"/>
          </w:rPr>
          <w:tab/>
        </w:r>
        <w:r w:rsidRPr="006C1C1D">
          <w:rPr>
            <w:sz w:val="20"/>
          </w:rPr>
          <w:tab/>
          <w:t xml:space="preserve">   </w:t>
        </w:r>
        <w:r w:rsidRPr="006C1C1D">
          <w:rPr>
            <w:sz w:val="20"/>
          </w:rPr>
          <w:tab/>
          <w:t xml:space="preserve"> </w:t>
        </w:r>
        <w:r w:rsidRPr="006C1C1D">
          <w:rPr>
            <w:sz w:val="19"/>
            <w:szCs w:val="19"/>
          </w:rPr>
          <w:fldChar w:fldCharType="begin"/>
        </w:r>
        <w:r w:rsidRPr="006C1C1D">
          <w:rPr>
            <w:sz w:val="19"/>
            <w:szCs w:val="19"/>
          </w:rPr>
          <w:instrText xml:space="preserve"> PAGE   \* MERGEFORMAT </w:instrText>
        </w:r>
        <w:r w:rsidRPr="006C1C1D">
          <w:rPr>
            <w:sz w:val="19"/>
            <w:szCs w:val="19"/>
          </w:rPr>
          <w:fldChar w:fldCharType="separate"/>
        </w:r>
        <w:r w:rsidR="00135FE1">
          <w:rPr>
            <w:noProof/>
            <w:sz w:val="19"/>
            <w:szCs w:val="19"/>
          </w:rPr>
          <w:t>2</w:t>
        </w:r>
        <w:r w:rsidRPr="006C1C1D">
          <w:rPr>
            <w:noProof/>
            <w:sz w:val="19"/>
            <w:szCs w:val="19"/>
          </w:rPr>
          <w:fldChar w:fldCharType="end"/>
        </w:r>
      </w:p>
    </w:sdtContent>
  </w:sdt>
  <w:p w:rsidR="006C1C1D" w:rsidRPr="00D85A3C" w:rsidRDefault="006C1C1D" w:rsidP="005E00DE">
    <w:pPr>
      <w:pStyle w:val="Foo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1D" w:rsidRDefault="006C1C1D" w:rsidP="00111143">
      <w:pPr>
        <w:spacing w:after="0" w:line="240" w:lineRule="auto"/>
      </w:pPr>
      <w:r>
        <w:separator/>
      </w:r>
    </w:p>
  </w:footnote>
  <w:footnote w:type="continuationSeparator" w:id="0">
    <w:p w:rsidR="006C1C1D" w:rsidRDefault="006C1C1D" w:rsidP="0011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822"/>
    <w:multiLevelType w:val="hybridMultilevel"/>
    <w:tmpl w:val="CF58D7B4"/>
    <w:lvl w:ilvl="0" w:tplc="0F06B3C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510E69"/>
    <w:multiLevelType w:val="hybridMultilevel"/>
    <w:tmpl w:val="BF3E28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733F67"/>
    <w:multiLevelType w:val="hybridMultilevel"/>
    <w:tmpl w:val="3A8437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74224B"/>
    <w:multiLevelType w:val="hybridMultilevel"/>
    <w:tmpl w:val="9384DD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B10FC1"/>
    <w:multiLevelType w:val="hybridMultilevel"/>
    <w:tmpl w:val="20BE79DC"/>
    <w:lvl w:ilvl="0" w:tplc="F85471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67191C"/>
    <w:multiLevelType w:val="hybridMultilevel"/>
    <w:tmpl w:val="F33E4E54"/>
    <w:lvl w:ilvl="0" w:tplc="03FA096A">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F7385E"/>
    <w:multiLevelType w:val="hybridMultilevel"/>
    <w:tmpl w:val="778A53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EE1CEA"/>
    <w:multiLevelType w:val="hybridMultilevel"/>
    <w:tmpl w:val="CFC08CE4"/>
    <w:lvl w:ilvl="0" w:tplc="D92E3F94">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A22552"/>
    <w:multiLevelType w:val="hybridMultilevel"/>
    <w:tmpl w:val="69204F18"/>
    <w:lvl w:ilvl="0" w:tplc="BAC6D23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31669F"/>
    <w:multiLevelType w:val="hybridMultilevel"/>
    <w:tmpl w:val="813449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014E31"/>
    <w:multiLevelType w:val="hybridMultilevel"/>
    <w:tmpl w:val="F732D864"/>
    <w:lvl w:ilvl="0" w:tplc="D788338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3D4B7A"/>
    <w:multiLevelType w:val="hybridMultilevel"/>
    <w:tmpl w:val="8830FE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ED4DD4"/>
    <w:multiLevelType w:val="hybridMultilevel"/>
    <w:tmpl w:val="01347058"/>
    <w:lvl w:ilvl="0" w:tplc="5CF0FA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670771"/>
    <w:multiLevelType w:val="hybridMultilevel"/>
    <w:tmpl w:val="3BFEE490"/>
    <w:lvl w:ilvl="0" w:tplc="41608E9E">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564909"/>
    <w:multiLevelType w:val="hybridMultilevel"/>
    <w:tmpl w:val="4C26D31C"/>
    <w:lvl w:ilvl="0" w:tplc="E6E8D59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D37BED"/>
    <w:multiLevelType w:val="hybridMultilevel"/>
    <w:tmpl w:val="2682AA4C"/>
    <w:lvl w:ilvl="0" w:tplc="0DBAF90C">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4340B3"/>
    <w:multiLevelType w:val="hybridMultilevel"/>
    <w:tmpl w:val="B4F00C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
  </w:num>
  <w:num w:numId="5">
    <w:abstractNumId w:val="8"/>
  </w:num>
  <w:num w:numId="6">
    <w:abstractNumId w:val="6"/>
  </w:num>
  <w:num w:numId="7">
    <w:abstractNumId w:val="11"/>
  </w:num>
  <w:num w:numId="8">
    <w:abstractNumId w:val="14"/>
  </w:num>
  <w:num w:numId="9">
    <w:abstractNumId w:val="3"/>
  </w:num>
  <w:num w:numId="10">
    <w:abstractNumId w:val="12"/>
  </w:num>
  <w:num w:numId="11">
    <w:abstractNumId w:val="16"/>
  </w:num>
  <w:num w:numId="12">
    <w:abstractNumId w:val="9"/>
  </w:num>
  <w:num w:numId="13">
    <w:abstractNumId w:val="5"/>
  </w:num>
  <w:num w:numId="14">
    <w:abstractNumId w:val="2"/>
  </w:num>
  <w:num w:numId="15">
    <w:abstractNumId w:val="1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C7"/>
    <w:rsid w:val="000156C7"/>
    <w:rsid w:val="00077D49"/>
    <w:rsid w:val="000B1FA7"/>
    <w:rsid w:val="000E30DF"/>
    <w:rsid w:val="000E3487"/>
    <w:rsid w:val="00111143"/>
    <w:rsid w:val="00135FE1"/>
    <w:rsid w:val="00140702"/>
    <w:rsid w:val="00193BA3"/>
    <w:rsid w:val="001A52F7"/>
    <w:rsid w:val="001A541F"/>
    <w:rsid w:val="001C7958"/>
    <w:rsid w:val="00217E70"/>
    <w:rsid w:val="002212F5"/>
    <w:rsid w:val="0025577F"/>
    <w:rsid w:val="0028482F"/>
    <w:rsid w:val="002A467C"/>
    <w:rsid w:val="002C6B89"/>
    <w:rsid w:val="0039350C"/>
    <w:rsid w:val="003D18E8"/>
    <w:rsid w:val="003D5246"/>
    <w:rsid w:val="005123C3"/>
    <w:rsid w:val="00533A17"/>
    <w:rsid w:val="00585BA2"/>
    <w:rsid w:val="005D478D"/>
    <w:rsid w:val="005E00DE"/>
    <w:rsid w:val="00664B93"/>
    <w:rsid w:val="006652AC"/>
    <w:rsid w:val="006C1C1D"/>
    <w:rsid w:val="006F7DD6"/>
    <w:rsid w:val="00733F2F"/>
    <w:rsid w:val="00742C0D"/>
    <w:rsid w:val="007B3A45"/>
    <w:rsid w:val="007B7838"/>
    <w:rsid w:val="007D52F7"/>
    <w:rsid w:val="007F539E"/>
    <w:rsid w:val="00825219"/>
    <w:rsid w:val="008566F9"/>
    <w:rsid w:val="008651DC"/>
    <w:rsid w:val="00876E5A"/>
    <w:rsid w:val="00931386"/>
    <w:rsid w:val="009314DA"/>
    <w:rsid w:val="00966D27"/>
    <w:rsid w:val="00992198"/>
    <w:rsid w:val="009B250A"/>
    <w:rsid w:val="009D4E4A"/>
    <w:rsid w:val="00A81CC6"/>
    <w:rsid w:val="00AA6119"/>
    <w:rsid w:val="00B174C6"/>
    <w:rsid w:val="00C071BD"/>
    <w:rsid w:val="00CA497B"/>
    <w:rsid w:val="00D1360C"/>
    <w:rsid w:val="00D50A82"/>
    <w:rsid w:val="00D85A3C"/>
    <w:rsid w:val="00D97E62"/>
    <w:rsid w:val="00DE221B"/>
    <w:rsid w:val="00E82DA4"/>
    <w:rsid w:val="00EA2365"/>
    <w:rsid w:val="00EA252D"/>
    <w:rsid w:val="00EB3D25"/>
    <w:rsid w:val="00F11A1D"/>
    <w:rsid w:val="00F40D73"/>
    <w:rsid w:val="00FC7438"/>
    <w:rsid w:val="00FD5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C61A3EE"/>
  <w15:docId w15:val="{03923406-1D7B-4599-B8E9-56025E53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C3"/>
    <w:pPr>
      <w:ind w:left="720"/>
      <w:contextualSpacing/>
    </w:pPr>
  </w:style>
  <w:style w:type="table" w:styleId="TableGrid">
    <w:name w:val="Table Grid"/>
    <w:basedOn w:val="TableNormal"/>
    <w:uiPriority w:val="59"/>
    <w:rsid w:val="0066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43"/>
  </w:style>
  <w:style w:type="paragraph" w:styleId="Footer">
    <w:name w:val="footer"/>
    <w:basedOn w:val="Normal"/>
    <w:link w:val="FooterChar"/>
    <w:uiPriority w:val="99"/>
    <w:unhideWhenUsed/>
    <w:rsid w:val="0011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43"/>
  </w:style>
  <w:style w:type="paragraph" w:styleId="BalloonText">
    <w:name w:val="Balloon Text"/>
    <w:basedOn w:val="Normal"/>
    <w:link w:val="BalloonTextChar"/>
    <w:uiPriority w:val="99"/>
    <w:semiHidden/>
    <w:unhideWhenUsed/>
    <w:rsid w:val="009314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4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FB7D-7750-40A5-985B-C7365429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81C39E38</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tmi</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DeVuono</dc:creator>
  <cp:lastModifiedBy>Winnie Chan</cp:lastModifiedBy>
  <cp:revision>2</cp:revision>
  <cp:lastPrinted>2016-07-21T19:59:00Z</cp:lastPrinted>
  <dcterms:created xsi:type="dcterms:W3CDTF">2019-03-29T18:41:00Z</dcterms:created>
  <dcterms:modified xsi:type="dcterms:W3CDTF">2019-03-29T18:41:00Z</dcterms:modified>
</cp:coreProperties>
</file>